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20DA" w14:textId="77777777" w:rsidR="00D52EF2" w:rsidRDefault="00D52EF2" w:rsidP="009700EB">
      <w:pPr>
        <w:tabs>
          <w:tab w:val="left" w:pos="1095"/>
        </w:tabs>
        <w:spacing w:after="0" w:line="240" w:lineRule="auto"/>
        <w:ind w:left="709"/>
        <w:jc w:val="center"/>
        <w:rPr>
          <w:rFonts w:ascii="Times New Roman" w:eastAsia="Meiryo UI" w:hAnsi="Times New Roman" w:cs="Times New Roman"/>
          <w:b/>
          <w:sz w:val="28"/>
          <w:szCs w:val="28"/>
          <w:u w:val="single"/>
          <w:lang w:eastAsia="es-ES"/>
        </w:rPr>
      </w:pPr>
    </w:p>
    <w:p w14:paraId="5AF0C3C3" w14:textId="77777777" w:rsidR="00C36014" w:rsidRPr="00615F93" w:rsidRDefault="00C36014" w:rsidP="00C36014">
      <w:pPr>
        <w:spacing w:line="276" w:lineRule="auto"/>
        <w:jc w:val="center"/>
        <w:rPr>
          <w:rFonts w:ascii="Times New Roman" w:hAnsi="Times New Roman" w:cs="Times New Roman"/>
          <w:b/>
          <w:bCs/>
        </w:rPr>
      </w:pPr>
      <w:r w:rsidRPr="00615F93">
        <w:rPr>
          <w:rFonts w:ascii="Times New Roman" w:hAnsi="Times New Roman" w:cs="Times New Roman"/>
          <w:b/>
          <w:bCs/>
        </w:rPr>
        <w:t>DESCRIPCIÓN CUALITATIVA DE LOS LOGROS ALCANZADOS</w:t>
      </w:r>
      <w:r w:rsidRPr="00615F93">
        <w:rPr>
          <w:rFonts w:ascii="Times New Roman" w:hAnsi="Times New Roman" w:cs="Times New Roman"/>
        </w:rPr>
        <w:t xml:space="preserve"> </w:t>
      </w:r>
      <w:r w:rsidRPr="00615F93">
        <w:rPr>
          <w:rFonts w:ascii="Times New Roman" w:hAnsi="Times New Roman" w:cs="Times New Roman"/>
          <w:b/>
          <w:bCs/>
        </w:rPr>
        <w:t>EJECUTADOS EN EL 1ER TRIMESTRE DEL EJERCICIO FISCAL 2026</w:t>
      </w:r>
    </w:p>
    <w:p w14:paraId="6192F24B"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El Ministerio de Desarrollo Social (MDS), creado por la Ley N.º 6.137/2018, tiene como objetivo diseñar e implementar políticas, planes, programas y proyectos centrados en el desarrollo y la equidad social. Su propósito es activar mecanismos de coordinación y articulación intersectorial a nivel central, departamental y distrital, con el fin de encaminar acciones tendientes a reducir las desigualdades y mejorar la calidad de vida de la población vulnerable.</w:t>
      </w:r>
    </w:p>
    <w:p w14:paraId="5D661B02" w14:textId="77777777" w:rsidR="00C36014" w:rsidRPr="00615F93" w:rsidRDefault="00C36014" w:rsidP="00C36014">
      <w:pPr>
        <w:pStyle w:val="NormalWeb"/>
        <w:spacing w:line="276" w:lineRule="auto"/>
        <w:jc w:val="both"/>
        <w:rPr>
          <w:rFonts w:eastAsiaTheme="minorHAnsi"/>
          <w:lang w:val="es-ES"/>
        </w:rPr>
      </w:pPr>
      <w:r w:rsidRPr="00A313B9">
        <w:rPr>
          <w:rFonts w:eastAsiaTheme="minorHAnsi"/>
          <w:lang w:val="es-ES"/>
        </w:rPr>
        <w:t>El MDS ejecuta los progr</w:t>
      </w:r>
      <w:r>
        <w:rPr>
          <w:rFonts w:eastAsiaTheme="minorHAnsi"/>
          <w:lang w:val="es-ES"/>
        </w:rPr>
        <w:t>amas Tekoporã, Tenonderã, Tekoha</w:t>
      </w:r>
      <w:r w:rsidRPr="00A313B9">
        <w:rPr>
          <w:rFonts w:eastAsiaTheme="minorHAnsi"/>
          <w:lang w:val="es-ES"/>
        </w:rPr>
        <w:t xml:space="preserve">, Comedores y Centros Comunitarios, así como el Programa de Asistencia a Pescadores, </w:t>
      </w:r>
      <w:r w:rsidRPr="00BF6619">
        <w:rPr>
          <w:rFonts w:eastAsiaTheme="minorHAnsi"/>
          <w:lang w:val="es-ES"/>
        </w:rPr>
        <w:t xml:space="preserve">Programa de </w:t>
      </w:r>
      <w:r w:rsidRPr="007C3E79">
        <w:rPr>
          <w:rFonts w:eastAsiaTheme="minorHAnsi"/>
          <w:lang w:val="es-ES"/>
        </w:rPr>
        <w:t>Pensión Universal para Adultos Mayores</w:t>
      </w:r>
      <w:r w:rsidRPr="00A313B9">
        <w:rPr>
          <w:rFonts w:eastAsiaTheme="minorHAnsi"/>
          <w:lang w:val="es-ES"/>
        </w:rPr>
        <w:t xml:space="preserve"> y el </w:t>
      </w:r>
      <w:bookmarkStart w:id="0" w:name="_Hlk226637158"/>
      <w:r w:rsidRPr="00A313B9">
        <w:rPr>
          <w:rFonts w:eastAsiaTheme="minorHAnsi"/>
          <w:lang w:val="es-ES"/>
        </w:rPr>
        <w:t xml:space="preserve">Programa de Alimentación Escolar “Hambre Cero en </w:t>
      </w:r>
      <w:r>
        <w:rPr>
          <w:rFonts w:eastAsiaTheme="minorHAnsi"/>
          <w:lang w:val="es-ES"/>
        </w:rPr>
        <w:t>nuestras</w:t>
      </w:r>
      <w:r w:rsidRPr="00A313B9">
        <w:rPr>
          <w:rFonts w:eastAsiaTheme="minorHAnsi"/>
          <w:lang w:val="es-ES"/>
        </w:rPr>
        <w:t xml:space="preserve"> Escuelas”</w:t>
      </w:r>
      <w:bookmarkEnd w:id="0"/>
      <w:r w:rsidRPr="00A313B9">
        <w:rPr>
          <w:rFonts w:eastAsiaTheme="minorHAnsi"/>
          <w:lang w:val="es-ES"/>
        </w:rPr>
        <w:t xml:space="preserve">; asimismo, coordina las acciones del </w:t>
      </w:r>
      <w:proofErr w:type="spellStart"/>
      <w:r w:rsidRPr="00615F93">
        <w:t>Consejo</w:t>
      </w:r>
      <w:proofErr w:type="spellEnd"/>
      <w:r w:rsidRPr="00615F93">
        <w:t xml:space="preserve"> Nacional de </w:t>
      </w:r>
      <w:proofErr w:type="spellStart"/>
      <w:r>
        <w:t>Donación</w:t>
      </w:r>
      <w:proofErr w:type="spellEnd"/>
      <w:r>
        <w:t xml:space="preserve"> de Alimentos</w:t>
      </w:r>
      <w:r w:rsidRPr="00615F93">
        <w:t xml:space="preserve"> (CONADA)</w:t>
      </w:r>
      <w:r>
        <w:rPr>
          <w:rFonts w:eastAsiaTheme="minorHAnsi"/>
          <w:lang w:val="es-ES"/>
        </w:rPr>
        <w:t xml:space="preserve"> y ejerce la presidencia del Consejo Nacional de Alimentación Escolar (CONAE).</w:t>
      </w:r>
    </w:p>
    <w:p w14:paraId="31270DEB"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Presentamos los resultados y acciones cualitativas ejecutados en el 1er Trimestre del Ejercicio Fiscal 2026, en línea con los objetivos estratégicos del MDS:</w:t>
      </w:r>
    </w:p>
    <w:p w14:paraId="424DC351" w14:textId="77777777" w:rsidR="00C36014" w:rsidRPr="00D0015A" w:rsidRDefault="00C36014" w:rsidP="00C36014">
      <w:pPr>
        <w:spacing w:line="276" w:lineRule="auto"/>
        <w:jc w:val="both"/>
        <w:rPr>
          <w:rFonts w:ascii="Times New Roman" w:hAnsi="Times New Roman" w:cs="Times New Roman"/>
          <w:b/>
          <w:bCs/>
        </w:rPr>
      </w:pPr>
      <w:r w:rsidRPr="00615F93">
        <w:rPr>
          <w:rFonts w:ascii="Times New Roman" w:hAnsi="Times New Roman" w:cs="Times New Roman"/>
          <w:b/>
          <w:bCs/>
        </w:rPr>
        <w:t xml:space="preserve">PROGRAMA TEKOPORA </w:t>
      </w:r>
      <w:r w:rsidRPr="00D0015A">
        <w:rPr>
          <w:rFonts w:ascii="Times New Roman" w:hAnsi="Times New Roman" w:cs="Times New Roman"/>
          <w:b/>
          <w:bCs/>
        </w:rPr>
        <w:t>MBARETE</w:t>
      </w:r>
    </w:p>
    <w:p w14:paraId="3C4AD730"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El programa de transferencia Monetaria con Corresponsabilidad, cuyo objetivo principal es mejorar la calidad de vida de la población participante, facilitando el ejercicio de los derechos a: alimentación, salud y educación, mediante el aumento del uso de servicios básicos y el fortalecimiento de las redes sociales, con el fin de cortar la transmisión intergeneracional de la pobreza.</w:t>
      </w:r>
    </w:p>
    <w:p w14:paraId="1E2E2155"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El programa cuenta con dos componentes, el acompañamiento sociofamiliar para el cumplimiento de las corresponsabilidades en salud y educación asumidas por las familias participantes con el propósito de fortalecer el capital humano de las personas; y la transferencia monetaria lo cual constituye un incentivo para el ejercicio de derecho de las familias entregado mensualmente.</w:t>
      </w:r>
    </w:p>
    <w:p w14:paraId="6AC18BFF" w14:textId="77777777" w:rsidR="00C36014" w:rsidRDefault="00C36014" w:rsidP="00C36014">
      <w:pPr>
        <w:spacing w:before="100" w:beforeAutospacing="1" w:after="100" w:afterAutospacing="1" w:line="276" w:lineRule="auto"/>
        <w:jc w:val="both"/>
        <w:rPr>
          <w:rFonts w:ascii="Times New Roman" w:hAnsi="Times New Roman" w:cs="Times New Roman"/>
        </w:rPr>
      </w:pPr>
      <w:r w:rsidRPr="00E7639C">
        <w:rPr>
          <w:rFonts w:ascii="Times New Roman" w:hAnsi="Times New Roman" w:cs="Times New Roman"/>
        </w:rPr>
        <w:t>En el marco del componente de acompañamiento sociofamiliar a marzo se acompañó a 81.164</w:t>
      </w:r>
      <w:r w:rsidRPr="00E7639C">
        <w:rPr>
          <w:rFonts w:ascii="Times New Roman" w:hAnsi="Times New Roman" w:cs="Times New Roman"/>
        </w:rPr>
        <w:tab/>
        <w:t xml:space="preserve"> familias mediate el desarrollo de acciones diferenciadas como visitas a nivel familiar, capacitaciones, organización de ferias productivas en otras acciones.</w:t>
      </w:r>
    </w:p>
    <w:p w14:paraId="1E24B8D7" w14:textId="77777777" w:rsidR="00C36014" w:rsidRPr="00615F93" w:rsidRDefault="00C36014" w:rsidP="00C36014">
      <w:pPr>
        <w:spacing w:before="100" w:beforeAutospacing="1" w:after="100" w:afterAutospacing="1" w:line="276" w:lineRule="auto"/>
        <w:jc w:val="both"/>
        <w:rPr>
          <w:rFonts w:ascii="Times New Roman" w:hAnsi="Times New Roman" w:cs="Times New Roman"/>
        </w:rPr>
      </w:pPr>
      <w:r>
        <w:rPr>
          <w:rFonts w:ascii="Times New Roman" w:hAnsi="Times New Roman" w:cs="Times New Roman"/>
        </w:rPr>
        <w:t xml:space="preserve"> </w:t>
      </w:r>
      <w:r w:rsidRPr="00615F93">
        <w:rPr>
          <w:rFonts w:ascii="Times New Roman" w:hAnsi="Times New Roman" w:cs="Times New Roman"/>
        </w:rPr>
        <w:t>En relación con el componente de transferencias monetarias, durante el primer trimestre del año 2026 el Programa registró cobertura a nivel nacional, alcanzando en el mes de enero a un total de 197.898 familias participantes, de las cuales 31.601 corresponden a población indígena y 24.844 incluyen personas con discapacidad, incluida discapacidad severa.</w:t>
      </w:r>
    </w:p>
    <w:p w14:paraId="01D3C59C" w14:textId="77777777" w:rsidR="00C36014" w:rsidRPr="00615F93" w:rsidRDefault="00C36014" w:rsidP="00C36014">
      <w:pPr>
        <w:spacing w:before="100" w:beforeAutospacing="1" w:after="100" w:afterAutospacing="1" w:line="276" w:lineRule="auto"/>
        <w:jc w:val="both"/>
        <w:rPr>
          <w:rFonts w:ascii="Times New Roman" w:hAnsi="Times New Roman" w:cs="Times New Roman"/>
        </w:rPr>
      </w:pPr>
      <w:r w:rsidRPr="00615F93">
        <w:rPr>
          <w:rFonts w:ascii="Times New Roman" w:hAnsi="Times New Roman" w:cs="Times New Roman"/>
        </w:rPr>
        <w:lastRenderedPageBreak/>
        <w:t>En febrero, la cobertura fue de 197.250 familias, de las cuales 31.479 pertenecen a población indígena y 24.896 registran presencia de personas con discapacidad y discapacidad severa.</w:t>
      </w:r>
    </w:p>
    <w:p w14:paraId="3450994F" w14:textId="77777777" w:rsidR="00C36014" w:rsidRPr="00615F93" w:rsidRDefault="00C36014" w:rsidP="00C36014">
      <w:pPr>
        <w:spacing w:before="100" w:beforeAutospacing="1" w:after="100" w:afterAutospacing="1" w:line="276" w:lineRule="auto"/>
        <w:jc w:val="both"/>
        <w:rPr>
          <w:rFonts w:ascii="Times New Roman" w:hAnsi="Times New Roman" w:cs="Times New Roman"/>
          <w:color w:val="FF0000"/>
        </w:rPr>
      </w:pPr>
      <w:r w:rsidRPr="00615F93">
        <w:rPr>
          <w:rFonts w:ascii="Times New Roman" w:hAnsi="Times New Roman" w:cs="Times New Roman"/>
        </w:rPr>
        <w:t>Por su parte, en marzo se protegió a 196.974 familias, de las cuales 31.564 corresponden a población indígena y 25.158 incluyen personas con discapacidad, incluida discapacidad severa.</w:t>
      </w:r>
      <w:r w:rsidRPr="00615F93">
        <w:rPr>
          <w:rFonts w:ascii="Times New Roman" w:hAnsi="Times New Roman" w:cs="Times New Roman"/>
        </w:rPr>
        <w:tab/>
      </w:r>
      <w:r w:rsidRPr="00615F93">
        <w:rPr>
          <w:rFonts w:ascii="Times New Roman" w:hAnsi="Times New Roman" w:cs="Times New Roman"/>
          <w:color w:val="FF0000"/>
        </w:rPr>
        <w:tab/>
      </w:r>
    </w:p>
    <w:p w14:paraId="131648EA" w14:textId="77777777" w:rsidR="00C36014" w:rsidRPr="00615F93" w:rsidRDefault="00C36014" w:rsidP="00C36014">
      <w:pPr>
        <w:spacing w:before="100" w:beforeAutospacing="1" w:after="100" w:afterAutospacing="1" w:line="276" w:lineRule="auto"/>
        <w:jc w:val="both"/>
        <w:rPr>
          <w:rFonts w:ascii="Times New Roman" w:hAnsi="Times New Roman" w:cs="Times New Roman"/>
          <w:b/>
          <w:bCs/>
        </w:rPr>
      </w:pPr>
      <w:r w:rsidRPr="00615F93">
        <w:rPr>
          <w:rFonts w:ascii="Times New Roman" w:hAnsi="Times New Roman" w:cs="Times New Roman"/>
          <w:b/>
          <w:bCs/>
        </w:rPr>
        <w:t>PROGRAMA TENONDERA</w:t>
      </w:r>
    </w:p>
    <w:p w14:paraId="58F801FD"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 xml:space="preserve">El Programa Tenonderã, orientado al fomento de microemprendimientos, se ha consolidado como un mecanismo eficaz para incentivar el </w:t>
      </w:r>
      <w:proofErr w:type="spellStart"/>
      <w:r w:rsidRPr="00615F93">
        <w:rPr>
          <w:rFonts w:ascii="Times New Roman" w:hAnsi="Times New Roman" w:cs="Times New Roman"/>
        </w:rPr>
        <w:t>emprendedurismo</w:t>
      </w:r>
      <w:proofErr w:type="spellEnd"/>
      <w:r w:rsidRPr="00615F93">
        <w:rPr>
          <w:rFonts w:ascii="Times New Roman" w:hAnsi="Times New Roman" w:cs="Times New Roman"/>
        </w:rPr>
        <w:t xml:space="preserve"> entre participantes del Programa Tekoporã a partir de su tercer año de permanencia. Su impacto radica en la generación de oportunidades que promueven ingresos autónomos y sostenibles.</w:t>
      </w:r>
    </w:p>
    <w:p w14:paraId="3D711D9A"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Durante el primer trimestre, el programa se encuentra en proceso de inclusión de participantes, con miras a concretar la primera transferencia del ejercicio fiscal vigente. En ese contexto, se registra un avance en la incorporación de 3.625 nuevos participantes al programa.</w:t>
      </w:r>
    </w:p>
    <w:p w14:paraId="37897CDB"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En este periodo, se fortalecieron las capacidades de 4.996 participantes mediante capacitaciones en áreas clave, como habilidades para la vida, emprendedoras y financieras. De este total, 4.439 corresponden a mujeres y 557 a hombres. Asimismo, 2.866 participantes recibieron acompañamiento y seguimiento a sus emprendimientos, así como asistencia técnica; de ellos, 2.541 son mujeres y 325 hombres.</w:t>
      </w:r>
    </w:p>
    <w:p w14:paraId="3087A438" w14:textId="77777777" w:rsidR="00C36014" w:rsidRPr="00615F93" w:rsidRDefault="00C36014" w:rsidP="00C36014">
      <w:pPr>
        <w:spacing w:line="276" w:lineRule="auto"/>
        <w:jc w:val="both"/>
        <w:rPr>
          <w:rFonts w:ascii="Times New Roman" w:hAnsi="Times New Roman" w:cs="Times New Roman"/>
          <w:b/>
          <w:bCs/>
        </w:rPr>
      </w:pPr>
      <w:r w:rsidRPr="00615F93">
        <w:rPr>
          <w:rFonts w:ascii="Times New Roman" w:hAnsi="Times New Roman" w:cs="Times New Roman"/>
          <w:b/>
          <w:bCs/>
        </w:rPr>
        <w:t>PROGRAMA TEKOHA</w:t>
      </w:r>
    </w:p>
    <w:p w14:paraId="5EB3B6D5"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El Programa de Desarrollo y Apoyo Social a los Asentamientos urbanos y suburbanos tiene como objetivo mejorar la calidad de vida de las familias en situación de pobreza o pobreza extrema. Esto se logra a través de atención integral, mejoramiento del hábitat y facilitando el acceso a servicios públicos básicos, todo en un entorno medio ambientalmente favorable.</w:t>
      </w:r>
    </w:p>
    <w:p w14:paraId="2F79F5F4"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Al cierre del primer trimestre, se adjudicó 405 lotes, avanzando en la regularización de la tenencia de la tierra a través de la firma de contratos de compraventa en diversos territorios sociales. Asimismo, se asignaron 49 lotes a familias solicitantes.</w:t>
      </w:r>
    </w:p>
    <w:p w14:paraId="74DD4CAE" w14:textId="77777777" w:rsidR="00C36014" w:rsidRPr="00615F93" w:rsidRDefault="00C36014" w:rsidP="00C36014">
      <w:pPr>
        <w:spacing w:line="276" w:lineRule="auto"/>
        <w:jc w:val="both"/>
        <w:rPr>
          <w:rFonts w:ascii="Times New Roman" w:hAnsi="Times New Roman" w:cs="Times New Roman"/>
          <w:b/>
          <w:bCs/>
          <w:color w:val="FF0000"/>
        </w:rPr>
      </w:pPr>
      <w:r w:rsidRPr="00615F93">
        <w:rPr>
          <w:rFonts w:ascii="Times New Roman" w:hAnsi="Times New Roman" w:cs="Times New Roman"/>
        </w:rPr>
        <w:t>En el mismo periodo, se aplicó el Registro Social de Hogares (RSH), alcanzando un total de 374 registros. El programa registró 1.713 atenciones a participantes en sede central.</w:t>
      </w:r>
    </w:p>
    <w:p w14:paraId="68D3B482" w14:textId="77777777" w:rsidR="00C36014" w:rsidRPr="00615F93" w:rsidRDefault="00C36014" w:rsidP="00C36014">
      <w:pPr>
        <w:spacing w:line="276" w:lineRule="auto"/>
        <w:jc w:val="both"/>
        <w:rPr>
          <w:rFonts w:ascii="Times New Roman" w:hAnsi="Times New Roman" w:cs="Times New Roman"/>
          <w:b/>
          <w:bCs/>
          <w:color w:val="FF0000"/>
        </w:rPr>
      </w:pPr>
    </w:p>
    <w:p w14:paraId="1CC0BE77" w14:textId="77777777" w:rsidR="00C36014" w:rsidRPr="00615F93" w:rsidRDefault="00C36014" w:rsidP="00C36014">
      <w:pPr>
        <w:spacing w:line="276" w:lineRule="auto"/>
        <w:jc w:val="both"/>
        <w:rPr>
          <w:rFonts w:ascii="Times New Roman" w:hAnsi="Times New Roman" w:cs="Times New Roman"/>
          <w:b/>
          <w:bCs/>
          <w:color w:val="FF0000"/>
        </w:rPr>
      </w:pPr>
    </w:p>
    <w:p w14:paraId="2957898A" w14:textId="77777777" w:rsidR="00C36014" w:rsidRPr="00615F93" w:rsidRDefault="00C36014" w:rsidP="00C36014">
      <w:pPr>
        <w:spacing w:line="276" w:lineRule="auto"/>
        <w:jc w:val="both"/>
        <w:rPr>
          <w:rFonts w:ascii="Times New Roman" w:hAnsi="Times New Roman" w:cs="Times New Roman"/>
          <w:b/>
          <w:bCs/>
          <w:color w:val="FF0000"/>
        </w:rPr>
      </w:pPr>
    </w:p>
    <w:p w14:paraId="1E44305A" w14:textId="77777777" w:rsidR="00C36014" w:rsidRPr="00615F93" w:rsidRDefault="00C36014" w:rsidP="00C36014">
      <w:pPr>
        <w:spacing w:line="276" w:lineRule="auto"/>
        <w:jc w:val="both"/>
        <w:rPr>
          <w:rFonts w:ascii="Times New Roman" w:hAnsi="Times New Roman" w:cs="Times New Roman"/>
          <w:b/>
          <w:bCs/>
          <w:color w:val="FF0000"/>
        </w:rPr>
      </w:pPr>
    </w:p>
    <w:p w14:paraId="38FFAF88" w14:textId="77777777" w:rsidR="00C36014" w:rsidRPr="00615F93" w:rsidRDefault="00C36014" w:rsidP="00C36014">
      <w:pPr>
        <w:spacing w:line="276" w:lineRule="auto"/>
        <w:jc w:val="both"/>
        <w:rPr>
          <w:rFonts w:ascii="Times New Roman" w:hAnsi="Times New Roman" w:cs="Times New Roman"/>
          <w:b/>
          <w:bCs/>
        </w:rPr>
      </w:pPr>
      <w:r w:rsidRPr="00615F93">
        <w:rPr>
          <w:rFonts w:ascii="Times New Roman" w:hAnsi="Times New Roman" w:cs="Times New Roman"/>
          <w:b/>
          <w:bCs/>
        </w:rPr>
        <w:lastRenderedPageBreak/>
        <w:t>PROGRAMA DE ASISTENCIA A PESCADORES DEL TERRITORIO NACIONAL (PROAP - TN)</w:t>
      </w:r>
    </w:p>
    <w:p w14:paraId="43FDCF25"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En el marco de lo que establece el Decreto 2319/2014 y el Decreto N</w:t>
      </w:r>
      <w:r>
        <w:rPr>
          <w:rFonts w:ascii="Times New Roman" w:hAnsi="Times New Roman" w:cs="Times New Roman"/>
        </w:rPr>
        <w:t>.</w:t>
      </w:r>
      <w:r w:rsidRPr="00615F93">
        <w:rPr>
          <w:rFonts w:ascii="Times New Roman" w:hAnsi="Times New Roman" w:cs="Times New Roman"/>
        </w:rPr>
        <w:t xml:space="preserve">º 2864/2019, el Ministerio de Desarrollo Social a través del Programa de Asistencia a Pescadores del Territorio Nacional, asiste en época de veda, a los pescadores comerciales que tienen como única actividad generadora de ingresos “la pesca”; el pago del subsidio por veda pesquera se realiza 1 (una) sola vez en el año, la transferencia monetaria recibe el titular de la unidad familiar, en el mes de noviembre. </w:t>
      </w:r>
    </w:p>
    <w:p w14:paraId="7B009701" w14:textId="77777777" w:rsidR="00C36014" w:rsidRPr="006379EA"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14:ligatures w14:val="none"/>
        </w:rPr>
      </w:pPr>
      <w:r w:rsidRPr="006379EA">
        <w:rPr>
          <w:rFonts w:ascii="Times New Roman" w:eastAsia="Times New Roman" w:hAnsi="Times New Roman" w:cs="Times New Roman"/>
          <w:kern w:val="0"/>
          <w:lang w:val="es-MX" w:eastAsia="es-MX"/>
          <w14:ligatures w14:val="none"/>
        </w:rPr>
        <w:t>Durante el primer trimestre de 2026, se llevó a cabo una mesa de trabajo con el MADES sobre la Lista de Pescadores 2026, en la que se propusieron ajustes a los formularios y se realizaron consultas relacionadas con el Plan Piloto del PROAP TN. En el marco del diseño del programa, también se mantuvieron reuniones con el Viceministerio de Políticas Sociales.</w:t>
      </w:r>
    </w:p>
    <w:p w14:paraId="60ADF606"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379EA">
        <w:rPr>
          <w:rFonts w:ascii="Times New Roman" w:eastAsia="Times New Roman" w:hAnsi="Times New Roman" w:cs="Times New Roman"/>
          <w:kern w:val="0"/>
          <w:lang w:val="es-MX" w:eastAsia="es-MX"/>
          <w14:ligatures w14:val="none"/>
        </w:rPr>
        <w:t xml:space="preserve">En cuanto a las actividades de campo, se realizaron encuentros con presidentes de asociaciones para analizar listas de pescadores, identificar casos que requieren visitas y censos, y mapear hogares a ser relevados. Estas acciones incluyeron la aplicación del Registro Social de Hogares y del Acta de Trabajo de Campo en distritos de los departamentos </w:t>
      </w:r>
      <w:r w:rsidRPr="00615F93">
        <w:rPr>
          <w:rFonts w:ascii="Times New Roman" w:eastAsia="Times New Roman" w:hAnsi="Times New Roman" w:cs="Times New Roman"/>
          <w:kern w:val="0"/>
          <w:lang w:val="es-MX" w:eastAsia="es-MX"/>
        </w:rPr>
        <w:t>Central (Mariano Roque Alonso), Ñeembucú (Pilar, Tacuaras, Cerrito, Mayor Martínez, General Díaz, Humaitá, Paso de Patria, Villa Oliva, Villa Franca y Alberdi), Misiones (</w:t>
      </w:r>
      <w:proofErr w:type="spellStart"/>
      <w:r w:rsidRPr="00615F93">
        <w:rPr>
          <w:rFonts w:ascii="Times New Roman" w:eastAsia="Times New Roman" w:hAnsi="Times New Roman" w:cs="Times New Roman"/>
          <w:kern w:val="0"/>
          <w:lang w:val="es-MX" w:eastAsia="es-MX"/>
        </w:rPr>
        <w:t>Ayolas</w:t>
      </w:r>
      <w:proofErr w:type="spellEnd"/>
      <w:r w:rsidRPr="00615F93">
        <w:rPr>
          <w:rFonts w:ascii="Times New Roman" w:eastAsia="Times New Roman" w:hAnsi="Times New Roman" w:cs="Times New Roman"/>
          <w:kern w:val="0"/>
          <w:lang w:val="es-MX" w:eastAsia="es-MX"/>
        </w:rPr>
        <w:t xml:space="preserve">, </w:t>
      </w:r>
      <w:proofErr w:type="spellStart"/>
      <w:r w:rsidRPr="00615F93">
        <w:rPr>
          <w:rFonts w:ascii="Times New Roman" w:eastAsia="Times New Roman" w:hAnsi="Times New Roman" w:cs="Times New Roman"/>
          <w:kern w:val="0"/>
          <w:lang w:val="es-MX" w:eastAsia="es-MX"/>
        </w:rPr>
        <w:t>Coratei</w:t>
      </w:r>
      <w:proofErr w:type="spellEnd"/>
      <w:r w:rsidRPr="00615F93">
        <w:rPr>
          <w:rFonts w:ascii="Times New Roman" w:eastAsia="Times New Roman" w:hAnsi="Times New Roman" w:cs="Times New Roman"/>
          <w:kern w:val="0"/>
          <w:lang w:val="es-MX" w:eastAsia="es-MX"/>
        </w:rPr>
        <w:t xml:space="preserve">, </w:t>
      </w:r>
      <w:proofErr w:type="spellStart"/>
      <w:r w:rsidRPr="00615F93">
        <w:rPr>
          <w:rFonts w:ascii="Times New Roman" w:eastAsia="Times New Roman" w:hAnsi="Times New Roman" w:cs="Times New Roman"/>
          <w:kern w:val="0"/>
          <w:lang w:val="es-MX" w:eastAsia="es-MX"/>
        </w:rPr>
        <w:t>Yabebyry</w:t>
      </w:r>
      <w:proofErr w:type="spellEnd"/>
      <w:r w:rsidRPr="00615F93">
        <w:rPr>
          <w:rFonts w:ascii="Times New Roman" w:eastAsia="Times New Roman" w:hAnsi="Times New Roman" w:cs="Times New Roman"/>
          <w:kern w:val="0"/>
          <w:lang w:val="es-MX" w:eastAsia="es-MX"/>
        </w:rPr>
        <w:t xml:space="preserve">, Panchito López y Villa Florida) e Itapúa (Encarnación, Carmen del Paraná, San Juan del Paraná, Coronel Bogado, </w:t>
      </w:r>
      <w:proofErr w:type="spellStart"/>
      <w:r w:rsidRPr="00615F93">
        <w:rPr>
          <w:rFonts w:ascii="Times New Roman" w:eastAsia="Times New Roman" w:hAnsi="Times New Roman" w:cs="Times New Roman"/>
          <w:kern w:val="0"/>
          <w:lang w:val="es-MX" w:eastAsia="es-MX"/>
        </w:rPr>
        <w:t>Cambyretá</w:t>
      </w:r>
      <w:proofErr w:type="spellEnd"/>
      <w:r w:rsidRPr="00615F93">
        <w:rPr>
          <w:rFonts w:ascii="Times New Roman" w:eastAsia="Times New Roman" w:hAnsi="Times New Roman" w:cs="Times New Roman"/>
          <w:kern w:val="0"/>
          <w:lang w:val="es-MX" w:eastAsia="es-MX"/>
        </w:rPr>
        <w:t>, Bella Vista y San Rafael del Paraná).</w:t>
      </w:r>
    </w:p>
    <w:p w14:paraId="0CC43D58"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 xml:space="preserve">Por otra parte, en el marco del Plan Piloto se impulsaron acciones para mejorar las condiciones de vida de las familias de pescadores mediante capacitaciones en gastronomía (“recetas innovadoras”), educación financiera (cálculo de costos y precios), branding, promoción de productos, creación de páginas web y fotografía, con apoyo del </w:t>
      </w:r>
      <w:proofErr w:type="spellStart"/>
      <w:r w:rsidRPr="00615F93">
        <w:rPr>
          <w:rFonts w:ascii="Times New Roman" w:eastAsia="Times New Roman" w:hAnsi="Times New Roman" w:cs="Times New Roman"/>
          <w:kern w:val="0"/>
          <w:lang w:val="es-MX" w:eastAsia="es-MX"/>
        </w:rPr>
        <w:t>MTEySS</w:t>
      </w:r>
      <w:proofErr w:type="spellEnd"/>
      <w:r w:rsidRPr="00615F93">
        <w:rPr>
          <w:rFonts w:ascii="Times New Roman" w:eastAsia="Times New Roman" w:hAnsi="Times New Roman" w:cs="Times New Roman"/>
          <w:kern w:val="0"/>
          <w:lang w:val="es-MX" w:eastAsia="es-MX"/>
        </w:rPr>
        <w:t xml:space="preserve"> – Viceministerio de Empleo (CEE).</w:t>
      </w:r>
    </w:p>
    <w:p w14:paraId="5F72016E"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 xml:space="preserve">Asimismo, en coordinación con el BNF, se realizó un taller de educación financiera y bancarización dirigido a participantes del plan piloto pertenecientes a asociaciones de San Antonio y Mariano Roque Alonso. Finalmente, se brindó apoyo en la organización de actividades de promoción gastronómica a base de pescado impulsadas por la Asociación Pira </w:t>
      </w:r>
      <w:proofErr w:type="spellStart"/>
      <w:r w:rsidRPr="00615F93">
        <w:rPr>
          <w:rFonts w:ascii="Times New Roman" w:eastAsia="Times New Roman" w:hAnsi="Times New Roman" w:cs="Times New Roman"/>
          <w:kern w:val="0"/>
          <w:lang w:val="es-MX" w:eastAsia="es-MX"/>
        </w:rPr>
        <w:t>Raity</w:t>
      </w:r>
      <w:proofErr w:type="spellEnd"/>
      <w:r w:rsidRPr="00615F93">
        <w:rPr>
          <w:rFonts w:ascii="Times New Roman" w:eastAsia="Times New Roman" w:hAnsi="Times New Roman" w:cs="Times New Roman"/>
          <w:kern w:val="0"/>
          <w:lang w:val="es-MX" w:eastAsia="es-MX"/>
        </w:rPr>
        <w:t xml:space="preserve"> (feria de comidas y Pira </w:t>
      </w:r>
      <w:proofErr w:type="spellStart"/>
      <w:r w:rsidRPr="00615F93">
        <w:rPr>
          <w:rFonts w:ascii="Times New Roman" w:eastAsia="Times New Roman" w:hAnsi="Times New Roman" w:cs="Times New Roman"/>
          <w:kern w:val="0"/>
          <w:lang w:val="es-MX" w:eastAsia="es-MX"/>
        </w:rPr>
        <w:t>Fest</w:t>
      </w:r>
      <w:proofErr w:type="spellEnd"/>
      <w:r w:rsidRPr="00615F93">
        <w:rPr>
          <w:rFonts w:ascii="Times New Roman" w:eastAsia="Times New Roman" w:hAnsi="Times New Roman" w:cs="Times New Roman"/>
          <w:kern w:val="0"/>
          <w:lang w:val="es-MX" w:eastAsia="es-MX"/>
        </w:rPr>
        <w:t>).</w:t>
      </w:r>
    </w:p>
    <w:p w14:paraId="4FD8C74C" w14:textId="3C56185C" w:rsidR="00C36014" w:rsidRPr="00615F93" w:rsidRDefault="00C36014" w:rsidP="00C36014">
      <w:pPr>
        <w:spacing w:line="276" w:lineRule="auto"/>
        <w:jc w:val="both"/>
        <w:rPr>
          <w:rFonts w:ascii="Times New Roman" w:hAnsi="Times New Roman" w:cs="Times New Roman"/>
          <w:b/>
          <w:bCs/>
        </w:rPr>
      </w:pPr>
      <w:r w:rsidRPr="00615F93">
        <w:rPr>
          <w:rFonts w:ascii="Times New Roman" w:hAnsi="Times New Roman" w:cs="Times New Roman"/>
          <w:b/>
          <w:bCs/>
        </w:rPr>
        <w:t>PROGRAMA COMEDORES Y CENTROS COMUNITARIOS</w:t>
      </w:r>
    </w:p>
    <w:p w14:paraId="4A629FAD"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El Programa de Comedores y Centros Comunitarios, establecido por la Ley N</w:t>
      </w:r>
      <w:r>
        <w:rPr>
          <w:rFonts w:ascii="Times New Roman" w:eastAsia="Times New Roman" w:hAnsi="Times New Roman" w:cs="Times New Roman"/>
          <w:kern w:val="0"/>
          <w:lang w:val="es-MX" w:eastAsia="es-MX"/>
        </w:rPr>
        <w:t>.</w:t>
      </w:r>
      <w:r w:rsidRPr="00615F93">
        <w:rPr>
          <w:rFonts w:ascii="Times New Roman" w:eastAsia="Times New Roman" w:hAnsi="Times New Roman" w:cs="Times New Roman"/>
          <w:kern w:val="0"/>
          <w:lang w:val="es-MX" w:eastAsia="es-MX"/>
        </w:rPr>
        <w:t xml:space="preserve">° 6945 en el año 2022, tiene como objetivo contribuir a la seguridad alimentaria de poblaciones en situación de vulnerabilidad, como niños, niñas, adolescentes, personas con discapacidad, adultos mayores, mujeres embarazadas y comunidades indígenas. A través de los </w:t>
      </w:r>
      <w:r w:rsidRPr="00615F93">
        <w:rPr>
          <w:rFonts w:ascii="Times New Roman" w:eastAsia="Times New Roman" w:hAnsi="Times New Roman" w:cs="Times New Roman"/>
          <w:kern w:val="0"/>
          <w:lang w:val="es-MX" w:eastAsia="es-MX"/>
        </w:rPr>
        <w:lastRenderedPageBreak/>
        <w:t>componentes de Apoyo Nutricional, Equipamiento y Fortalecimiento de organizaciones, se busca asegurar el derecho a la alimentación y fortalecer las capacidades locales.</w:t>
      </w:r>
    </w:p>
    <w:p w14:paraId="44948D5C"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Durante el primer trimestre del ejercicio fiscal 2026, se brindó protección a un total de 17.767 personas, mediante la provisión de 361.344 kilogramos de insumos alimenticios no perecederos a 280 organizaciones comunitarias a nivel nacional (225 en la Región Oriental y 55 en la Región Occidental). Estas acciones permitieron fortalecer a los comedores, del total, 102 corresponden a comunidades indígenas y 5 dedicadas al cuidado de personas adultas mayores.</w:t>
      </w:r>
    </w:p>
    <w:p w14:paraId="11FFD047"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Adicionalmente, en el marco de la articulación interinstitucional, se gestionó la provisión de alimentos y donaciones, alcanzando un total de 4.658 kilogramos distribuidos.</w:t>
      </w:r>
    </w:p>
    <w:p w14:paraId="1DE5DCB5" w14:textId="77777777" w:rsidR="00C36014" w:rsidRPr="00615F93" w:rsidRDefault="00C36014" w:rsidP="00C36014">
      <w:pPr>
        <w:spacing w:line="276" w:lineRule="auto"/>
        <w:jc w:val="both"/>
        <w:rPr>
          <w:rFonts w:ascii="Times New Roman" w:hAnsi="Times New Roman" w:cs="Times New Roman"/>
          <w:b/>
          <w:bCs/>
        </w:rPr>
      </w:pPr>
      <w:r w:rsidRPr="00615F93">
        <w:rPr>
          <w:rFonts w:ascii="Times New Roman" w:hAnsi="Times New Roman" w:cs="Times New Roman"/>
          <w:b/>
          <w:bCs/>
        </w:rPr>
        <w:t>PROGRAMA ADULTOS MAYORES</w:t>
      </w:r>
    </w:p>
    <w:p w14:paraId="1650C5FA"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 xml:space="preserve">El Programa de </w:t>
      </w:r>
      <w:r w:rsidRPr="007C3E79">
        <w:rPr>
          <w:rFonts w:ascii="Times New Roman" w:hAnsi="Times New Roman" w:cs="Times New Roman"/>
        </w:rPr>
        <w:t>Pensión Universal para Adultos Mayores</w:t>
      </w:r>
      <w:r w:rsidRPr="00615F93">
        <w:rPr>
          <w:rFonts w:ascii="Times New Roman" w:hAnsi="Times New Roman" w:cs="Times New Roman"/>
        </w:rPr>
        <w:t xml:space="preserve">, establecido por la Ley N.º 7322/2024 y reglamentado por el Decreto N.º 3139/2024, tiene como objetivo garantizar el bienestar y la seguridad alimentaria de las personas adultas mayores en situación de vulnerabilidad en Paraguay. Esta iniciativa del Ministerio de Desarrollo Social busca proporcionar un ingreso económico mensual para cubrir necesidades básicas y promover la inclusión social, especialmente para aquellos en pobreza extrema. </w:t>
      </w:r>
    </w:p>
    <w:p w14:paraId="33C7C078"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Durante los primeros tres meses del año, se llevaron a cabo 8 visitas de verificación in situ a personas adultas mayores, en el marco de los controles establecidos por la ley y ante situaciones reportadas a través de denuncias.</w:t>
      </w:r>
    </w:p>
    <w:p w14:paraId="112F7B5C" w14:textId="77777777" w:rsidR="00C36014" w:rsidRPr="00615F93" w:rsidRDefault="00C36014" w:rsidP="00C36014">
      <w:pPr>
        <w:spacing w:line="276" w:lineRule="auto"/>
        <w:jc w:val="both"/>
        <w:rPr>
          <w:rFonts w:ascii="Times New Roman" w:hAnsi="Times New Roman" w:cs="Times New Roman"/>
        </w:rPr>
      </w:pPr>
      <w:r w:rsidRPr="00615F93">
        <w:rPr>
          <w:rFonts w:ascii="Times New Roman" w:hAnsi="Times New Roman" w:cs="Times New Roman"/>
        </w:rPr>
        <w:t>El programa ha experimentado un proceso de consolidación y expansión, eliminando el censo como requisito para acceder al beneficio y simplificando los procesos de inscripción. Los nuevos criterios de elegibilidad priorizan a quienes no cuentan con otras fuentes de ingreso, asegurando un enfoque más inclusivo y equitativo.</w:t>
      </w:r>
    </w:p>
    <w:p w14:paraId="659C4200" w14:textId="77777777" w:rsidR="00C36014" w:rsidRDefault="00C36014" w:rsidP="00C36014">
      <w:pPr>
        <w:spacing w:line="276" w:lineRule="auto"/>
        <w:jc w:val="both"/>
        <w:rPr>
          <w:rFonts w:ascii="Times New Roman" w:hAnsi="Times New Roman" w:cs="Times New Roman"/>
        </w:rPr>
      </w:pPr>
      <w:r w:rsidRPr="00615F93">
        <w:rPr>
          <w:rFonts w:ascii="Times New Roman" w:hAnsi="Times New Roman" w:cs="Times New Roman"/>
        </w:rPr>
        <w:t xml:space="preserve">En el ejercicio fiscal 2026 se incluyeron 25.058 nuevos participantes, alcanzando un total de 360,191 participantes, al cierre del primer trimestre </w:t>
      </w:r>
      <w:r>
        <w:rPr>
          <w:rFonts w:ascii="Times New Roman" w:hAnsi="Times New Roman" w:cs="Times New Roman"/>
        </w:rPr>
        <w:t xml:space="preserve">se cuenta con una </w:t>
      </w:r>
      <w:r w:rsidRPr="00615F93">
        <w:rPr>
          <w:rFonts w:ascii="Times New Roman" w:hAnsi="Times New Roman" w:cs="Times New Roman"/>
        </w:rPr>
        <w:t>ejecución presupuestaria</w:t>
      </w:r>
      <w:r>
        <w:rPr>
          <w:rFonts w:ascii="Times New Roman" w:hAnsi="Times New Roman" w:cs="Times New Roman"/>
        </w:rPr>
        <w:t xml:space="preserve"> del </w:t>
      </w:r>
      <w:r w:rsidRPr="00615F93">
        <w:rPr>
          <w:rFonts w:ascii="Times New Roman" w:hAnsi="Times New Roman" w:cs="Times New Roman"/>
        </w:rPr>
        <w:t>24%</w:t>
      </w:r>
      <w:r>
        <w:rPr>
          <w:rFonts w:ascii="Times New Roman" w:hAnsi="Times New Roman" w:cs="Times New Roman"/>
        </w:rPr>
        <w:t>.</w:t>
      </w:r>
    </w:p>
    <w:p w14:paraId="369CE214" w14:textId="3D3BC28D" w:rsidR="00C36014" w:rsidRPr="00615F93" w:rsidRDefault="00C36014" w:rsidP="00C36014">
      <w:pPr>
        <w:spacing w:line="276" w:lineRule="auto"/>
        <w:jc w:val="both"/>
        <w:rPr>
          <w:rFonts w:ascii="Times New Roman" w:hAnsi="Times New Roman" w:cs="Times New Roman"/>
          <w:b/>
          <w:bCs/>
        </w:rPr>
      </w:pPr>
      <w:bookmarkStart w:id="1" w:name="_GoBack"/>
      <w:bookmarkEnd w:id="1"/>
      <w:r w:rsidRPr="00615F93">
        <w:rPr>
          <w:rFonts w:ascii="Times New Roman" w:hAnsi="Times New Roman" w:cs="Times New Roman"/>
          <w:b/>
          <w:bCs/>
        </w:rPr>
        <w:t>CONADA</w:t>
      </w:r>
    </w:p>
    <w:p w14:paraId="3B99D835"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En el marco de la implementación de la Ley N.° 6601/2020, la Coordinación del CONADA registró avances significativos en el primer trimestre del ejercicio fiscal, destacándose el fortalecimiento de la gestión institucional, la articulación interinstitucional y la puesta en marcha de iniciativas estratégicas en seguridad alimentaria y nutricional.</w:t>
      </w:r>
    </w:p>
    <w:p w14:paraId="180832E9" w14:textId="77777777" w:rsidR="00C36014" w:rsidRPr="00615F93" w:rsidRDefault="00C36014" w:rsidP="00C36014">
      <w:pPr>
        <w:spacing w:before="100" w:beforeAutospacing="1" w:after="100" w:afterAutospacing="1"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 xml:space="preserve">Se realizaron dos sesiones del </w:t>
      </w:r>
      <w:r w:rsidRPr="007C3E79">
        <w:rPr>
          <w:rFonts w:ascii="Times New Roman" w:eastAsia="Times New Roman" w:hAnsi="Times New Roman" w:cs="Times New Roman"/>
          <w:kern w:val="0"/>
          <w:lang w:val="es-MX" w:eastAsia="es-MX"/>
        </w:rPr>
        <w:t xml:space="preserve">Consejo Nacional de Donación de Alimentos </w:t>
      </w:r>
      <w:r w:rsidRPr="00615F93">
        <w:rPr>
          <w:rFonts w:ascii="Times New Roman" w:eastAsia="Times New Roman" w:hAnsi="Times New Roman" w:cs="Times New Roman"/>
          <w:kern w:val="0"/>
          <w:lang w:val="es-MX" w:eastAsia="es-MX"/>
        </w:rPr>
        <w:t xml:space="preserve">(CONADA), que funcionaron como espacios clave para la coordinación, el seguimiento de acciones y </w:t>
      </w:r>
      <w:r w:rsidRPr="00615F93">
        <w:rPr>
          <w:rFonts w:ascii="Times New Roman" w:eastAsia="Times New Roman" w:hAnsi="Times New Roman" w:cs="Times New Roman"/>
          <w:kern w:val="0"/>
          <w:lang w:val="es-MX" w:eastAsia="es-MX"/>
        </w:rPr>
        <w:lastRenderedPageBreak/>
        <w:t>la toma de decisiones. Asimismo, se incorporaron cinco organizaciones comunitarias al Sistema CONADA, fortaleciendo la base de datos institucional.</w:t>
      </w:r>
    </w:p>
    <w:p w14:paraId="0D95DD54" w14:textId="77777777" w:rsidR="00C36014" w:rsidRDefault="00C36014" w:rsidP="00C36014">
      <w:pPr>
        <w:spacing w:line="276" w:lineRule="auto"/>
        <w:jc w:val="both"/>
        <w:rPr>
          <w:rFonts w:ascii="Times New Roman" w:eastAsia="Times New Roman" w:hAnsi="Times New Roman" w:cs="Times New Roman"/>
          <w:kern w:val="0"/>
          <w:lang w:val="es-MX" w:eastAsia="es-MX"/>
        </w:rPr>
      </w:pPr>
      <w:r w:rsidRPr="00615F93">
        <w:rPr>
          <w:rFonts w:ascii="Times New Roman" w:eastAsia="Times New Roman" w:hAnsi="Times New Roman" w:cs="Times New Roman"/>
          <w:kern w:val="0"/>
          <w:lang w:val="es-MX" w:eastAsia="es-MX"/>
        </w:rPr>
        <w:t>Por otra parte, se iniciaron las actividades de asistencia técnica y capacitación dirigidas a funcionarios del Ministerio de Desarrollo Social, en el marco del Proyecto de Cooperación Bilateral “</w:t>
      </w:r>
      <w:proofErr w:type="spellStart"/>
      <w:r w:rsidRPr="00615F93">
        <w:rPr>
          <w:rFonts w:ascii="Times New Roman" w:eastAsia="Times New Roman" w:hAnsi="Times New Roman" w:cs="Times New Roman"/>
          <w:kern w:val="0"/>
          <w:lang w:val="es-MX" w:eastAsia="es-MX"/>
        </w:rPr>
        <w:t>Karu</w:t>
      </w:r>
      <w:proofErr w:type="spellEnd"/>
      <w:r w:rsidRPr="00615F93">
        <w:rPr>
          <w:rFonts w:ascii="Times New Roman" w:eastAsia="Times New Roman" w:hAnsi="Times New Roman" w:cs="Times New Roman"/>
          <w:kern w:val="0"/>
          <w:lang w:val="es-MX" w:eastAsia="es-MX"/>
        </w:rPr>
        <w:t xml:space="preserve"> </w:t>
      </w:r>
      <w:proofErr w:type="spellStart"/>
      <w:r w:rsidRPr="00615F93">
        <w:rPr>
          <w:rFonts w:ascii="Times New Roman" w:eastAsia="Times New Roman" w:hAnsi="Times New Roman" w:cs="Times New Roman"/>
          <w:kern w:val="0"/>
          <w:lang w:val="es-MX" w:eastAsia="es-MX"/>
        </w:rPr>
        <w:t>Ñembyaty</w:t>
      </w:r>
      <w:proofErr w:type="spellEnd"/>
      <w:r w:rsidRPr="00615F93">
        <w:rPr>
          <w:rFonts w:ascii="Times New Roman" w:eastAsia="Times New Roman" w:hAnsi="Times New Roman" w:cs="Times New Roman"/>
          <w:kern w:val="0"/>
          <w:lang w:val="es-MX" w:eastAsia="es-MX"/>
        </w:rPr>
        <w:t xml:space="preserve"> Solidario”, con la realización de la primera jornada de talleres prevista.</w:t>
      </w:r>
    </w:p>
    <w:p w14:paraId="2C256B69" w14:textId="77777777" w:rsidR="00B53982" w:rsidRDefault="00B53982" w:rsidP="00B53982">
      <w:pPr>
        <w:tabs>
          <w:tab w:val="left" w:pos="1095"/>
        </w:tabs>
        <w:spacing w:after="0" w:line="240" w:lineRule="auto"/>
        <w:rPr>
          <w:rFonts w:ascii="Times New Roman" w:hAnsi="Times New Roman" w:cs="Times New Roman"/>
          <w:b/>
          <w:bCs/>
          <w:highlight w:val="yellow"/>
          <w:lang w:val="es-AR"/>
        </w:rPr>
      </w:pPr>
    </w:p>
    <w:p w14:paraId="3F867CBC" w14:textId="5D0607C7" w:rsidR="00C76D88" w:rsidRDefault="00B53982" w:rsidP="00B53982">
      <w:pPr>
        <w:tabs>
          <w:tab w:val="left" w:pos="1095"/>
        </w:tabs>
        <w:spacing w:after="0" w:line="240" w:lineRule="auto"/>
        <w:rPr>
          <w:rFonts w:ascii="Times New Roman" w:hAnsi="Times New Roman" w:cs="Times New Roman"/>
          <w:b/>
          <w:bCs/>
          <w:lang w:val="es-AR"/>
        </w:rPr>
      </w:pPr>
      <w:r w:rsidRPr="00B53982">
        <w:rPr>
          <w:rFonts w:ascii="Times New Roman" w:hAnsi="Times New Roman" w:cs="Times New Roman"/>
          <w:b/>
          <w:bCs/>
          <w:lang w:val="es-AR"/>
        </w:rPr>
        <w:t>PROGRAMA HAMBRE CERO EN LAS ESCUELAS (MDS EJECUTOR)</w:t>
      </w:r>
    </w:p>
    <w:p w14:paraId="51ADE4A5" w14:textId="4CDDB8BD" w:rsidR="007B6154" w:rsidRPr="007D39DA" w:rsidRDefault="007B6154" w:rsidP="007D39DA">
      <w:pPr>
        <w:spacing w:before="100" w:beforeAutospacing="1" w:after="100" w:afterAutospacing="1" w:line="276" w:lineRule="auto"/>
        <w:jc w:val="both"/>
        <w:rPr>
          <w:rFonts w:ascii="Times New Roman" w:eastAsia="Times New Roman" w:hAnsi="Times New Roman" w:cs="Times New Roman"/>
          <w:kern w:val="0"/>
          <w:lang w:val="es-MX" w:eastAsia="es-MX"/>
        </w:rPr>
      </w:pPr>
      <w:r w:rsidRPr="007D39DA">
        <w:rPr>
          <w:rFonts w:ascii="Times New Roman" w:eastAsia="Times New Roman" w:hAnsi="Times New Roman" w:cs="Times New Roman"/>
          <w:kern w:val="0"/>
          <w:lang w:val="es-MX" w:eastAsia="es-MX"/>
        </w:rPr>
        <w:t>En el presente año, el Programa de Alimentación Escolar “Hambre Cero en las Escuelas y Sistema Educativo”, cuyo objetivo principal radica en el acceso a alimentación variada y de calidad, impactando sustancialmente los índices de seguridad alimentaria y nutrición.</w:t>
      </w:r>
    </w:p>
    <w:p w14:paraId="2F4464E2" w14:textId="670C01C5" w:rsidR="007B6154" w:rsidRPr="007D39DA" w:rsidRDefault="007B6154" w:rsidP="007D39DA">
      <w:pPr>
        <w:spacing w:before="100" w:beforeAutospacing="1" w:after="100" w:afterAutospacing="1" w:line="276" w:lineRule="auto"/>
        <w:jc w:val="both"/>
        <w:rPr>
          <w:rFonts w:ascii="Times New Roman" w:eastAsia="Times New Roman" w:hAnsi="Times New Roman" w:cs="Times New Roman"/>
          <w:kern w:val="0"/>
          <w:lang w:val="es-MX" w:eastAsia="es-MX"/>
        </w:rPr>
      </w:pPr>
      <w:r w:rsidRPr="007D39DA">
        <w:rPr>
          <w:rFonts w:ascii="Times New Roman" w:eastAsia="Times New Roman" w:hAnsi="Times New Roman" w:cs="Times New Roman"/>
          <w:kern w:val="0"/>
          <w:lang w:val="es-MX" w:eastAsia="es-MX"/>
        </w:rPr>
        <w:t xml:space="preserve">En el año 2026, se consolido el alcance del programa llegando al 100% de los alumnos matriculados y autorizados desde el nivel inicial al nivel medio, en instituciones de gestión oficial. Por otra parte, se fortaleció el uso del Sistema integrado de alimentación escolar, como único medio para emisión de ordenes de servicio, y realizando digitalmente todo el proceso operativo reduciendo significativamente el uso de papel. </w:t>
      </w:r>
    </w:p>
    <w:p w14:paraId="11709D60" w14:textId="52ACDE6C" w:rsidR="007B6154" w:rsidRPr="007D39DA" w:rsidRDefault="007B6154" w:rsidP="007D39DA">
      <w:pPr>
        <w:spacing w:before="100" w:beforeAutospacing="1" w:after="100" w:afterAutospacing="1" w:line="276" w:lineRule="auto"/>
        <w:jc w:val="both"/>
        <w:rPr>
          <w:rFonts w:ascii="Times New Roman" w:eastAsia="Times New Roman" w:hAnsi="Times New Roman" w:cs="Times New Roman"/>
          <w:kern w:val="0"/>
          <w:lang w:val="es-MX" w:eastAsia="es-MX"/>
        </w:rPr>
      </w:pPr>
      <w:r w:rsidRPr="007D39DA">
        <w:rPr>
          <w:rFonts w:ascii="Times New Roman" w:eastAsia="Times New Roman" w:hAnsi="Times New Roman" w:cs="Times New Roman"/>
          <w:kern w:val="0"/>
          <w:lang w:val="es-MX" w:eastAsia="es-MX"/>
        </w:rPr>
        <w:t>Al cierre del trimestre fueron beneficiados alrededor de 301.453 alumnos de los diferentes niveles educativos, en 1.125 Instituciones educativas de los Departamentos de Central, Presidente Hayes y Capital.</w:t>
      </w:r>
    </w:p>
    <w:sectPr w:rsidR="007B6154" w:rsidRPr="007D39DA" w:rsidSect="00075226">
      <w:headerReference w:type="default" r:id="rId8"/>
      <w:footerReference w:type="default" r:id="rId9"/>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DE07" w14:textId="77777777" w:rsidR="009C278A" w:rsidRDefault="009C278A" w:rsidP="0036615A">
      <w:pPr>
        <w:spacing w:after="0" w:line="240" w:lineRule="auto"/>
      </w:pPr>
      <w:r>
        <w:separator/>
      </w:r>
    </w:p>
  </w:endnote>
  <w:endnote w:type="continuationSeparator" w:id="0">
    <w:p w14:paraId="00056062" w14:textId="77777777" w:rsidR="009C278A" w:rsidRDefault="009C278A" w:rsidP="0036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6A77" w14:textId="77777777" w:rsidR="0036615A" w:rsidRDefault="0036615A">
    <w:pPr>
      <w:pStyle w:val="Piedepgina"/>
    </w:pPr>
    <w:r>
      <w:rPr>
        <w:noProof/>
        <w:lang w:val="es-PY" w:eastAsia="es-PY"/>
      </w:rPr>
      <mc:AlternateContent>
        <mc:Choice Requires="wps">
          <w:drawing>
            <wp:anchor distT="0" distB="0" distL="114300" distR="114300" simplePos="0" relativeHeight="251662336" behindDoc="0" locked="0" layoutInCell="1" allowOverlap="1" wp14:anchorId="3F4F4441" wp14:editId="5EFA43CF">
              <wp:simplePos x="0" y="0"/>
              <wp:positionH relativeFrom="margin">
                <wp:align>center</wp:align>
              </wp:positionH>
              <wp:positionV relativeFrom="paragraph">
                <wp:posOffset>253365</wp:posOffset>
              </wp:positionV>
              <wp:extent cx="7400925" cy="0"/>
              <wp:effectExtent l="0" t="0" r="0" b="0"/>
              <wp:wrapNone/>
              <wp:docPr id="2115621437" name="Conector recto 3"/>
              <wp:cNvGraphicFramePr/>
              <a:graphic xmlns:a="http://schemas.openxmlformats.org/drawingml/2006/main">
                <a:graphicData uri="http://schemas.microsoft.com/office/word/2010/wordprocessingShape">
                  <wps:wsp>
                    <wps:cNvCnPr/>
                    <wps:spPr>
                      <a:xfrm>
                        <a:off x="0" y="0"/>
                        <a:ext cx="740092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F956A" id="Conector recto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9.95pt" to="582.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" strokecolor="#002060" strokeweight="1.5pt">
              <v:stroke joinstyle="miter"/>
              <w10:wrap anchorx="margin"/>
            </v:line>
          </w:pict>
        </mc:Fallback>
      </mc:AlternateContent>
    </w:r>
    <w:r>
      <w:rPr>
        <w:noProof/>
        <w:lang w:val="es-PY" w:eastAsia="es-PY"/>
      </w:rPr>
      <w:drawing>
        <wp:anchor distT="0" distB="0" distL="114300" distR="114300" simplePos="0" relativeHeight="251660288" behindDoc="1" locked="0" layoutInCell="1" allowOverlap="1" wp14:anchorId="42084001" wp14:editId="518C3E1B">
          <wp:simplePos x="0" y="0"/>
          <wp:positionH relativeFrom="column">
            <wp:posOffset>1843405</wp:posOffset>
          </wp:positionH>
          <wp:positionV relativeFrom="paragraph">
            <wp:posOffset>-108585</wp:posOffset>
          </wp:positionV>
          <wp:extent cx="1981200" cy="266700"/>
          <wp:effectExtent l="0" t="0" r="0" b="0"/>
          <wp:wrapNone/>
          <wp:docPr id="421874489" name="Imagen 42187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80C74" w14:textId="77777777" w:rsidR="009C278A" w:rsidRDefault="009C278A" w:rsidP="0036615A">
      <w:pPr>
        <w:spacing w:after="0" w:line="240" w:lineRule="auto"/>
      </w:pPr>
      <w:r>
        <w:separator/>
      </w:r>
    </w:p>
  </w:footnote>
  <w:footnote w:type="continuationSeparator" w:id="0">
    <w:p w14:paraId="73902579" w14:textId="77777777" w:rsidR="009C278A" w:rsidRDefault="009C278A" w:rsidP="00366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6DD8B" w14:textId="47287457" w:rsidR="00075226" w:rsidRDefault="00075226">
    <w:pPr>
      <w:pStyle w:val="Encabezado"/>
    </w:pPr>
    <w:r>
      <w:rPr>
        <w:noProof/>
        <w:lang w:val="es-PY" w:eastAsia="es-PY"/>
      </w:rPr>
      <w:drawing>
        <wp:anchor distT="0" distB="0" distL="114300" distR="114300" simplePos="0" relativeHeight="251658240" behindDoc="1" locked="0" layoutInCell="1" allowOverlap="1" wp14:anchorId="0F846254" wp14:editId="42841EB9">
          <wp:simplePos x="0" y="0"/>
          <wp:positionH relativeFrom="column">
            <wp:posOffset>1706245</wp:posOffset>
          </wp:positionH>
          <wp:positionV relativeFrom="paragraph">
            <wp:posOffset>-178435</wp:posOffset>
          </wp:positionV>
          <wp:extent cx="2276475" cy="390525"/>
          <wp:effectExtent l="0" t="0" r="9525" b="9525"/>
          <wp:wrapTight wrapText="bothSides">
            <wp:wrapPolygon edited="0">
              <wp:start x="0" y="0"/>
              <wp:lineTo x="0" y="21073"/>
              <wp:lineTo x="21510" y="21073"/>
              <wp:lineTo x="21510" y="0"/>
              <wp:lineTo x="0" y="0"/>
            </wp:wrapPolygon>
          </wp:wrapTight>
          <wp:docPr id="1606377275" name="Imagen 160637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90525"/>
                  </a:xfrm>
                  <a:prstGeom prst="rect">
                    <a:avLst/>
                  </a:prstGeom>
                  <a:noFill/>
                  <a:ln>
                    <a:noFill/>
                  </a:ln>
                </pic:spPr>
              </pic:pic>
            </a:graphicData>
          </a:graphic>
        </wp:anchor>
      </w:drawing>
    </w:r>
    <w:r>
      <w:rPr>
        <w:noProof/>
        <w:lang w:val="es-PY" w:eastAsia="es-PY"/>
      </w:rPr>
      <mc:AlternateContent>
        <mc:Choice Requires="wps">
          <w:drawing>
            <wp:anchor distT="0" distB="0" distL="114300" distR="114300" simplePos="0" relativeHeight="251659264" behindDoc="0" locked="0" layoutInCell="1" allowOverlap="1" wp14:anchorId="4147DCEB" wp14:editId="7B27D786">
              <wp:simplePos x="0" y="0"/>
              <wp:positionH relativeFrom="column">
                <wp:posOffset>-984885</wp:posOffset>
              </wp:positionH>
              <wp:positionV relativeFrom="paragraph">
                <wp:posOffset>335915</wp:posOffset>
              </wp:positionV>
              <wp:extent cx="7400925" cy="0"/>
              <wp:effectExtent l="0" t="0" r="0" b="0"/>
              <wp:wrapNone/>
              <wp:docPr id="1227062769" name="Conector recto 3"/>
              <wp:cNvGraphicFramePr/>
              <a:graphic xmlns:a="http://schemas.openxmlformats.org/drawingml/2006/main">
                <a:graphicData uri="http://schemas.microsoft.com/office/word/2010/wordprocessingShape">
                  <wps:wsp>
                    <wps:cNvCnPr/>
                    <wps:spPr>
                      <a:xfrm>
                        <a:off x="0" y="0"/>
                        <a:ext cx="74009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BD3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5pt,26.45pt" to="505.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" strokecolor="red" strokeweight="1.5pt">
              <v:stroke joinstyle="miter"/>
            </v:line>
          </w:pict>
        </mc:Fallback>
      </mc:AlternateContent>
    </w:r>
  </w:p>
  <w:p w14:paraId="2F4DEF83" w14:textId="37A294CB" w:rsidR="00075226" w:rsidRDefault="00075226">
    <w:pPr>
      <w:pStyle w:val="Encabezado"/>
    </w:pPr>
  </w:p>
  <w:p w14:paraId="7EBC6111" w14:textId="721644C7" w:rsidR="0036615A" w:rsidRDefault="003661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0E8E"/>
    <w:multiLevelType w:val="hybridMultilevel"/>
    <w:tmpl w:val="4AF0574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2BF47C21"/>
    <w:multiLevelType w:val="hybridMultilevel"/>
    <w:tmpl w:val="B5D8993A"/>
    <w:lvl w:ilvl="0" w:tplc="3C0A000F">
      <w:start w:val="1"/>
      <w:numFmt w:val="decimal"/>
      <w:lvlText w:val="%1."/>
      <w:lvlJc w:val="left"/>
      <w:pPr>
        <w:ind w:left="720" w:hanging="360"/>
      </w:pPr>
      <w:rPr>
        <w:rFonts w:hint="default"/>
        <w:b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31776F36"/>
    <w:multiLevelType w:val="hybridMultilevel"/>
    <w:tmpl w:val="D01658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E83614"/>
    <w:multiLevelType w:val="hybridMultilevel"/>
    <w:tmpl w:val="BB2C038C"/>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36ED5D27"/>
    <w:multiLevelType w:val="hybridMultilevel"/>
    <w:tmpl w:val="8976F2BA"/>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426C5B8B"/>
    <w:multiLevelType w:val="hybridMultilevel"/>
    <w:tmpl w:val="BB900664"/>
    <w:lvl w:ilvl="0" w:tplc="5C441616">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444717A2"/>
    <w:multiLevelType w:val="hybridMultilevel"/>
    <w:tmpl w:val="331067E0"/>
    <w:lvl w:ilvl="0" w:tplc="33129D4E">
      <w:start w:val="1"/>
      <w:numFmt w:val="decimal"/>
      <w:lvlText w:val="%1."/>
      <w:lvlJc w:val="left"/>
      <w:pPr>
        <w:ind w:left="720" w:hanging="360"/>
      </w:pPr>
      <w:rPr>
        <w:rFonts w:ascii="Times New Roman" w:eastAsia="Meiryo UI" w:hAnsi="Times New Roman" w:cs="Times New Roman" w:hint="default"/>
        <w:b/>
        <w:color w:val="auto"/>
        <w:sz w:val="24"/>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4B8B5346"/>
    <w:multiLevelType w:val="hybridMultilevel"/>
    <w:tmpl w:val="4DE81412"/>
    <w:lvl w:ilvl="0" w:tplc="2158987C">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73B00851"/>
    <w:multiLevelType w:val="hybridMultilevel"/>
    <w:tmpl w:val="7256D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4E84A9C"/>
    <w:multiLevelType w:val="hybridMultilevel"/>
    <w:tmpl w:val="AF0E1A16"/>
    <w:lvl w:ilvl="0" w:tplc="51CC6F70">
      <w:start w:val="1"/>
      <w:numFmt w:val="bullet"/>
      <w:lvlText w:val="-"/>
      <w:lvlJc w:val="left"/>
      <w:pPr>
        <w:ind w:left="720" w:hanging="360"/>
      </w:pPr>
      <w:rPr>
        <w:rFonts w:ascii="Calibri" w:eastAsia="Calibri" w:hAnsi="Calibri" w:cs="Calibri" w:hint="default"/>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
  </w:num>
  <w:num w:numId="6">
    <w:abstractNumId w:val="7"/>
  </w:num>
  <w:num w:numId="7">
    <w:abstractNumId w:val="6"/>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5A"/>
    <w:rsid w:val="000015C3"/>
    <w:rsid w:val="0000226D"/>
    <w:rsid w:val="000062F9"/>
    <w:rsid w:val="00012623"/>
    <w:rsid w:val="000149C2"/>
    <w:rsid w:val="00016153"/>
    <w:rsid w:val="000442A5"/>
    <w:rsid w:val="00051553"/>
    <w:rsid w:val="00055121"/>
    <w:rsid w:val="00065B2F"/>
    <w:rsid w:val="00072E31"/>
    <w:rsid w:val="00075226"/>
    <w:rsid w:val="00085DBA"/>
    <w:rsid w:val="000A12D7"/>
    <w:rsid w:val="000A3957"/>
    <w:rsid w:val="000A5697"/>
    <w:rsid w:val="000B2247"/>
    <w:rsid w:val="000C2015"/>
    <w:rsid w:val="000D2418"/>
    <w:rsid w:val="000D4C23"/>
    <w:rsid w:val="000D6913"/>
    <w:rsid w:val="000E0F5A"/>
    <w:rsid w:val="000F58D9"/>
    <w:rsid w:val="0012420A"/>
    <w:rsid w:val="001250B8"/>
    <w:rsid w:val="001266FB"/>
    <w:rsid w:val="0012773D"/>
    <w:rsid w:val="00133A5E"/>
    <w:rsid w:val="00143F43"/>
    <w:rsid w:val="00152457"/>
    <w:rsid w:val="00174C68"/>
    <w:rsid w:val="00184EA8"/>
    <w:rsid w:val="001875C7"/>
    <w:rsid w:val="001A2456"/>
    <w:rsid w:val="001B0F0B"/>
    <w:rsid w:val="001B6821"/>
    <w:rsid w:val="001C1B1A"/>
    <w:rsid w:val="001C4551"/>
    <w:rsid w:val="001C5BF7"/>
    <w:rsid w:val="001E3A8B"/>
    <w:rsid w:val="001F78D0"/>
    <w:rsid w:val="00215A39"/>
    <w:rsid w:val="00216EA4"/>
    <w:rsid w:val="00223E8C"/>
    <w:rsid w:val="00225254"/>
    <w:rsid w:val="00235DF4"/>
    <w:rsid w:val="00255E93"/>
    <w:rsid w:val="0025627F"/>
    <w:rsid w:val="00264071"/>
    <w:rsid w:val="0026505F"/>
    <w:rsid w:val="0027629D"/>
    <w:rsid w:val="00291B17"/>
    <w:rsid w:val="00295FE5"/>
    <w:rsid w:val="002A0FD0"/>
    <w:rsid w:val="002C0EC6"/>
    <w:rsid w:val="002D27A8"/>
    <w:rsid w:val="002D54D5"/>
    <w:rsid w:val="0030008C"/>
    <w:rsid w:val="00314A16"/>
    <w:rsid w:val="00325634"/>
    <w:rsid w:val="00325A02"/>
    <w:rsid w:val="003403CB"/>
    <w:rsid w:val="00345098"/>
    <w:rsid w:val="00345DF8"/>
    <w:rsid w:val="0034690A"/>
    <w:rsid w:val="00354E76"/>
    <w:rsid w:val="0036562D"/>
    <w:rsid w:val="0036615A"/>
    <w:rsid w:val="0037091C"/>
    <w:rsid w:val="003A4342"/>
    <w:rsid w:val="003A48F7"/>
    <w:rsid w:val="003A7B58"/>
    <w:rsid w:val="003C3852"/>
    <w:rsid w:val="003C5DFF"/>
    <w:rsid w:val="003E0919"/>
    <w:rsid w:val="003F48DA"/>
    <w:rsid w:val="003F5E0C"/>
    <w:rsid w:val="00403B7F"/>
    <w:rsid w:val="00410676"/>
    <w:rsid w:val="00413026"/>
    <w:rsid w:val="00416DF0"/>
    <w:rsid w:val="004302FB"/>
    <w:rsid w:val="00432B0B"/>
    <w:rsid w:val="00433A62"/>
    <w:rsid w:val="004366EB"/>
    <w:rsid w:val="004442B3"/>
    <w:rsid w:val="00446BE3"/>
    <w:rsid w:val="004553EC"/>
    <w:rsid w:val="00455A8E"/>
    <w:rsid w:val="00471A42"/>
    <w:rsid w:val="00487BB7"/>
    <w:rsid w:val="00493BA2"/>
    <w:rsid w:val="00493DED"/>
    <w:rsid w:val="004A6B85"/>
    <w:rsid w:val="004A77B3"/>
    <w:rsid w:val="004B0302"/>
    <w:rsid w:val="004D2D03"/>
    <w:rsid w:val="004E02CE"/>
    <w:rsid w:val="004E376D"/>
    <w:rsid w:val="004E41FB"/>
    <w:rsid w:val="004E61FE"/>
    <w:rsid w:val="004E739C"/>
    <w:rsid w:val="004F4169"/>
    <w:rsid w:val="005001A5"/>
    <w:rsid w:val="00506C25"/>
    <w:rsid w:val="00516864"/>
    <w:rsid w:val="005379C0"/>
    <w:rsid w:val="00541211"/>
    <w:rsid w:val="00545F98"/>
    <w:rsid w:val="00547766"/>
    <w:rsid w:val="00553213"/>
    <w:rsid w:val="00554116"/>
    <w:rsid w:val="005558FC"/>
    <w:rsid w:val="005569FC"/>
    <w:rsid w:val="0059146D"/>
    <w:rsid w:val="005B709F"/>
    <w:rsid w:val="005D52B5"/>
    <w:rsid w:val="005E227A"/>
    <w:rsid w:val="005E6C7B"/>
    <w:rsid w:val="005F6BAD"/>
    <w:rsid w:val="005F798C"/>
    <w:rsid w:val="0060702C"/>
    <w:rsid w:val="006076C3"/>
    <w:rsid w:val="00631BCE"/>
    <w:rsid w:val="00634B80"/>
    <w:rsid w:val="00635263"/>
    <w:rsid w:val="0063624B"/>
    <w:rsid w:val="00640B4B"/>
    <w:rsid w:val="00643A8A"/>
    <w:rsid w:val="00646DB6"/>
    <w:rsid w:val="00650038"/>
    <w:rsid w:val="00652EBB"/>
    <w:rsid w:val="00665398"/>
    <w:rsid w:val="00684176"/>
    <w:rsid w:val="00684B97"/>
    <w:rsid w:val="00691B14"/>
    <w:rsid w:val="006930F8"/>
    <w:rsid w:val="006A143F"/>
    <w:rsid w:val="006A28EC"/>
    <w:rsid w:val="006A33DF"/>
    <w:rsid w:val="006A6D9B"/>
    <w:rsid w:val="006C1592"/>
    <w:rsid w:val="006C29AE"/>
    <w:rsid w:val="006D1469"/>
    <w:rsid w:val="006F38D0"/>
    <w:rsid w:val="006F5804"/>
    <w:rsid w:val="0070213F"/>
    <w:rsid w:val="007048E0"/>
    <w:rsid w:val="00705157"/>
    <w:rsid w:val="00721931"/>
    <w:rsid w:val="00732887"/>
    <w:rsid w:val="00733DC3"/>
    <w:rsid w:val="007374B2"/>
    <w:rsid w:val="00771F78"/>
    <w:rsid w:val="007732ED"/>
    <w:rsid w:val="00776CC0"/>
    <w:rsid w:val="0078166F"/>
    <w:rsid w:val="007951FB"/>
    <w:rsid w:val="007958F6"/>
    <w:rsid w:val="007A3F0A"/>
    <w:rsid w:val="007B6154"/>
    <w:rsid w:val="007D1AEA"/>
    <w:rsid w:val="007D235E"/>
    <w:rsid w:val="007D39DA"/>
    <w:rsid w:val="007E0C73"/>
    <w:rsid w:val="007E3424"/>
    <w:rsid w:val="007E5A12"/>
    <w:rsid w:val="007F3CBF"/>
    <w:rsid w:val="0080592F"/>
    <w:rsid w:val="008170D5"/>
    <w:rsid w:val="00822EC0"/>
    <w:rsid w:val="00833393"/>
    <w:rsid w:val="008370EB"/>
    <w:rsid w:val="00845B23"/>
    <w:rsid w:val="00846AB4"/>
    <w:rsid w:val="0085128E"/>
    <w:rsid w:val="008514FF"/>
    <w:rsid w:val="008575B7"/>
    <w:rsid w:val="00866A26"/>
    <w:rsid w:val="008775CD"/>
    <w:rsid w:val="00877BE7"/>
    <w:rsid w:val="00886325"/>
    <w:rsid w:val="00894942"/>
    <w:rsid w:val="008A4263"/>
    <w:rsid w:val="008A4C28"/>
    <w:rsid w:val="008A743D"/>
    <w:rsid w:val="008B4E68"/>
    <w:rsid w:val="008C22E7"/>
    <w:rsid w:val="008C2764"/>
    <w:rsid w:val="008C304F"/>
    <w:rsid w:val="008D1070"/>
    <w:rsid w:val="008E42E5"/>
    <w:rsid w:val="008F6C87"/>
    <w:rsid w:val="00912F05"/>
    <w:rsid w:val="0092757E"/>
    <w:rsid w:val="00930CD5"/>
    <w:rsid w:val="00931E4B"/>
    <w:rsid w:val="00934D19"/>
    <w:rsid w:val="00941B71"/>
    <w:rsid w:val="009456C7"/>
    <w:rsid w:val="00955213"/>
    <w:rsid w:val="009649D0"/>
    <w:rsid w:val="009700EB"/>
    <w:rsid w:val="009774AB"/>
    <w:rsid w:val="009856EB"/>
    <w:rsid w:val="009959E7"/>
    <w:rsid w:val="00997221"/>
    <w:rsid w:val="009A45B3"/>
    <w:rsid w:val="009A6165"/>
    <w:rsid w:val="009B373E"/>
    <w:rsid w:val="009C278A"/>
    <w:rsid w:val="009D0CB3"/>
    <w:rsid w:val="009E04A2"/>
    <w:rsid w:val="009E3851"/>
    <w:rsid w:val="009E48C7"/>
    <w:rsid w:val="009E6F3F"/>
    <w:rsid w:val="009F5A69"/>
    <w:rsid w:val="009F5C34"/>
    <w:rsid w:val="00A0223D"/>
    <w:rsid w:val="00A0601E"/>
    <w:rsid w:val="00A14DA3"/>
    <w:rsid w:val="00A17625"/>
    <w:rsid w:val="00A211B3"/>
    <w:rsid w:val="00A22C97"/>
    <w:rsid w:val="00A30779"/>
    <w:rsid w:val="00A40360"/>
    <w:rsid w:val="00A403EE"/>
    <w:rsid w:val="00A420AD"/>
    <w:rsid w:val="00A43C70"/>
    <w:rsid w:val="00A5577E"/>
    <w:rsid w:val="00A65BB6"/>
    <w:rsid w:val="00A75F23"/>
    <w:rsid w:val="00A81CEF"/>
    <w:rsid w:val="00A9305A"/>
    <w:rsid w:val="00A9752D"/>
    <w:rsid w:val="00AB546C"/>
    <w:rsid w:val="00AC0B7F"/>
    <w:rsid w:val="00AC6EC4"/>
    <w:rsid w:val="00AD0A85"/>
    <w:rsid w:val="00AD3B4E"/>
    <w:rsid w:val="00AD3BAE"/>
    <w:rsid w:val="00AF7EB8"/>
    <w:rsid w:val="00B13719"/>
    <w:rsid w:val="00B218AF"/>
    <w:rsid w:val="00B22A69"/>
    <w:rsid w:val="00B44501"/>
    <w:rsid w:val="00B52250"/>
    <w:rsid w:val="00B53982"/>
    <w:rsid w:val="00B56E10"/>
    <w:rsid w:val="00B642FF"/>
    <w:rsid w:val="00B65741"/>
    <w:rsid w:val="00B73C8D"/>
    <w:rsid w:val="00B83CAA"/>
    <w:rsid w:val="00B84096"/>
    <w:rsid w:val="00B84E02"/>
    <w:rsid w:val="00B91FB1"/>
    <w:rsid w:val="00B9523E"/>
    <w:rsid w:val="00BA4AB7"/>
    <w:rsid w:val="00BB537C"/>
    <w:rsid w:val="00BD2777"/>
    <w:rsid w:val="00BF576F"/>
    <w:rsid w:val="00BF6DBB"/>
    <w:rsid w:val="00C02D50"/>
    <w:rsid w:val="00C075C0"/>
    <w:rsid w:val="00C11E24"/>
    <w:rsid w:val="00C1774B"/>
    <w:rsid w:val="00C20B81"/>
    <w:rsid w:val="00C23E2D"/>
    <w:rsid w:val="00C26EC6"/>
    <w:rsid w:val="00C36014"/>
    <w:rsid w:val="00C520BD"/>
    <w:rsid w:val="00C54A23"/>
    <w:rsid w:val="00C63B21"/>
    <w:rsid w:val="00C72C99"/>
    <w:rsid w:val="00C743B2"/>
    <w:rsid w:val="00C76D88"/>
    <w:rsid w:val="00C80978"/>
    <w:rsid w:val="00C85865"/>
    <w:rsid w:val="00C92072"/>
    <w:rsid w:val="00CA0F92"/>
    <w:rsid w:val="00CA19BC"/>
    <w:rsid w:val="00CA203B"/>
    <w:rsid w:val="00CA28B0"/>
    <w:rsid w:val="00CB27D7"/>
    <w:rsid w:val="00CC269A"/>
    <w:rsid w:val="00CC4F09"/>
    <w:rsid w:val="00CC5FD7"/>
    <w:rsid w:val="00CD2388"/>
    <w:rsid w:val="00CF2540"/>
    <w:rsid w:val="00D02D0F"/>
    <w:rsid w:val="00D03C38"/>
    <w:rsid w:val="00D04C1A"/>
    <w:rsid w:val="00D07014"/>
    <w:rsid w:val="00D13AC8"/>
    <w:rsid w:val="00D26B65"/>
    <w:rsid w:val="00D44D35"/>
    <w:rsid w:val="00D45F84"/>
    <w:rsid w:val="00D46005"/>
    <w:rsid w:val="00D52EF2"/>
    <w:rsid w:val="00D53669"/>
    <w:rsid w:val="00D57D9E"/>
    <w:rsid w:val="00D657A6"/>
    <w:rsid w:val="00D80919"/>
    <w:rsid w:val="00D82CE1"/>
    <w:rsid w:val="00DA5BCC"/>
    <w:rsid w:val="00DB52B7"/>
    <w:rsid w:val="00DC7E62"/>
    <w:rsid w:val="00DD184C"/>
    <w:rsid w:val="00DD2064"/>
    <w:rsid w:val="00DD370F"/>
    <w:rsid w:val="00DD7D16"/>
    <w:rsid w:val="00DE1A91"/>
    <w:rsid w:val="00DE34BD"/>
    <w:rsid w:val="00DE4B31"/>
    <w:rsid w:val="00DF0C19"/>
    <w:rsid w:val="00DF13A6"/>
    <w:rsid w:val="00E00AAD"/>
    <w:rsid w:val="00E1096F"/>
    <w:rsid w:val="00E10F80"/>
    <w:rsid w:val="00E230E0"/>
    <w:rsid w:val="00E31836"/>
    <w:rsid w:val="00E80CC2"/>
    <w:rsid w:val="00E84C26"/>
    <w:rsid w:val="00EA0D79"/>
    <w:rsid w:val="00EA6DFE"/>
    <w:rsid w:val="00EB7427"/>
    <w:rsid w:val="00EC3CD3"/>
    <w:rsid w:val="00EE2E2F"/>
    <w:rsid w:val="00EE6104"/>
    <w:rsid w:val="00EF55ED"/>
    <w:rsid w:val="00F001F2"/>
    <w:rsid w:val="00F0110C"/>
    <w:rsid w:val="00F22B24"/>
    <w:rsid w:val="00F26E6A"/>
    <w:rsid w:val="00F4653E"/>
    <w:rsid w:val="00F46C21"/>
    <w:rsid w:val="00F578DA"/>
    <w:rsid w:val="00F878CD"/>
    <w:rsid w:val="00F92BBA"/>
    <w:rsid w:val="00FA5A55"/>
    <w:rsid w:val="00FB6429"/>
    <w:rsid w:val="00FB70E2"/>
    <w:rsid w:val="00FC6303"/>
    <w:rsid w:val="00FD3EFF"/>
    <w:rsid w:val="00FF2B6D"/>
    <w:rsid w:val="00FF4C0D"/>
    <w:rsid w:val="00FF7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C4C3"/>
  <w15:docId w15:val="{58F2DD52-3C26-499E-BD1D-0382B7DD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14"/>
    <w:pPr>
      <w:spacing w:line="278"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1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615A"/>
  </w:style>
  <w:style w:type="paragraph" w:styleId="Piedepgina">
    <w:name w:val="footer"/>
    <w:basedOn w:val="Normal"/>
    <w:link w:val="PiedepginaCar"/>
    <w:uiPriority w:val="99"/>
    <w:unhideWhenUsed/>
    <w:rsid w:val="003661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15A"/>
  </w:style>
  <w:style w:type="paragraph" w:styleId="Textonotapie">
    <w:name w:val="footnote text"/>
    <w:aliases w:val="Notas Car Car,Notas Car Car Car"/>
    <w:basedOn w:val="Normal"/>
    <w:link w:val="TextonotapieCar"/>
    <w:unhideWhenUsed/>
    <w:rsid w:val="00075226"/>
    <w:pPr>
      <w:spacing w:after="0" w:line="240" w:lineRule="auto"/>
    </w:pPr>
    <w:rPr>
      <w:sz w:val="20"/>
      <w:szCs w:val="20"/>
      <w:lang w:val="es-PY"/>
    </w:rPr>
  </w:style>
  <w:style w:type="character" w:customStyle="1" w:styleId="TextonotapieCar">
    <w:name w:val="Texto nota pie Car"/>
    <w:aliases w:val="Notas Car Car Car1,Notas Car Car Car Car"/>
    <w:basedOn w:val="Fuentedeprrafopredeter"/>
    <w:link w:val="Textonotapie"/>
    <w:rsid w:val="00075226"/>
    <w:rPr>
      <w:kern w:val="0"/>
      <w:sz w:val="20"/>
      <w:szCs w:val="20"/>
      <w:lang w:val="es-PY"/>
      <w14:ligatures w14:val="none"/>
    </w:rPr>
  </w:style>
  <w:style w:type="paragraph" w:styleId="Textocomentario">
    <w:name w:val="annotation text"/>
    <w:basedOn w:val="Normal"/>
    <w:link w:val="TextocomentarioCar"/>
    <w:uiPriority w:val="99"/>
    <w:unhideWhenUsed/>
    <w:rsid w:val="00075226"/>
    <w:pPr>
      <w:spacing w:after="200" w:line="240" w:lineRule="auto"/>
    </w:pPr>
    <w:rPr>
      <w:rFonts w:ascii="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075226"/>
    <w:rPr>
      <w:rFonts w:ascii="Times New Roman" w:hAnsi="Times New Roman" w:cs="Times New Roman"/>
      <w:kern w:val="0"/>
      <w:sz w:val="20"/>
      <w:szCs w:val="20"/>
      <w14:ligatures w14:val="none"/>
    </w:rPr>
  </w:style>
  <w:style w:type="paragraph" w:styleId="Prrafodelista">
    <w:name w:val="List Paragraph"/>
    <w:aliases w:val="titulo 5,List Paragraph (numbered (a))"/>
    <w:basedOn w:val="Normal"/>
    <w:link w:val="PrrafodelistaCar"/>
    <w:uiPriority w:val="34"/>
    <w:qFormat/>
    <w:rsid w:val="00075226"/>
    <w:pPr>
      <w:ind w:left="720"/>
      <w:contextualSpacing/>
    </w:pPr>
  </w:style>
  <w:style w:type="character" w:customStyle="1" w:styleId="PrrafodelistaCar">
    <w:name w:val="Párrafo de lista Car"/>
    <w:aliases w:val="titulo 5 Car,List Paragraph (numbered (a)) Car"/>
    <w:link w:val="Prrafodelista"/>
    <w:uiPriority w:val="34"/>
    <w:rsid w:val="00075226"/>
    <w:rPr>
      <w:kern w:val="0"/>
      <w14:ligatures w14:val="none"/>
    </w:rPr>
  </w:style>
  <w:style w:type="table" w:styleId="Tablaconcuadrcula">
    <w:name w:val="Table Grid"/>
    <w:basedOn w:val="Tablanormal"/>
    <w:uiPriority w:val="39"/>
    <w:rsid w:val="0034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25627F"/>
  </w:style>
  <w:style w:type="paragraph" w:styleId="NormalWeb">
    <w:name w:val="Normal (Web)"/>
    <w:basedOn w:val="Normal"/>
    <w:uiPriority w:val="99"/>
    <w:unhideWhenUsed/>
    <w:rsid w:val="00C075C0"/>
    <w:pPr>
      <w:spacing w:before="100" w:beforeAutospacing="1" w:after="100" w:afterAutospacing="1" w:line="240" w:lineRule="auto"/>
    </w:pPr>
    <w:rPr>
      <w:rFonts w:ascii="Times New Roman" w:eastAsia="Times New Roman" w:hAnsi="Times New Roman" w:cs="Times New Roman"/>
      <w:lang w:val="en-US"/>
    </w:rPr>
  </w:style>
  <w:style w:type="paragraph" w:styleId="Sinespaciado">
    <w:name w:val="No Spacing"/>
    <w:uiPriority w:val="1"/>
    <w:qFormat/>
    <w:rsid w:val="00684176"/>
    <w:pPr>
      <w:spacing w:after="0" w:line="240" w:lineRule="auto"/>
    </w:pPr>
    <w:rPr>
      <w:kern w:val="0"/>
      <w:lang w:val="es-419"/>
      <w14:ligatures w14:val="none"/>
    </w:rPr>
  </w:style>
  <w:style w:type="character" w:styleId="Hipervnculo">
    <w:name w:val="Hyperlink"/>
    <w:basedOn w:val="Fuentedeprrafopredeter"/>
    <w:uiPriority w:val="99"/>
    <w:unhideWhenUsed/>
    <w:rsid w:val="00FF7A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82004">
      <w:bodyDiv w:val="1"/>
      <w:marLeft w:val="0"/>
      <w:marRight w:val="0"/>
      <w:marTop w:val="0"/>
      <w:marBottom w:val="0"/>
      <w:divBdr>
        <w:top w:val="none" w:sz="0" w:space="0" w:color="auto"/>
        <w:left w:val="none" w:sz="0" w:space="0" w:color="auto"/>
        <w:bottom w:val="none" w:sz="0" w:space="0" w:color="auto"/>
        <w:right w:val="none" w:sz="0" w:space="0" w:color="auto"/>
      </w:divBdr>
    </w:div>
    <w:div w:id="1004090027">
      <w:bodyDiv w:val="1"/>
      <w:marLeft w:val="0"/>
      <w:marRight w:val="0"/>
      <w:marTop w:val="0"/>
      <w:marBottom w:val="0"/>
      <w:divBdr>
        <w:top w:val="none" w:sz="0" w:space="0" w:color="auto"/>
        <w:left w:val="none" w:sz="0" w:space="0" w:color="auto"/>
        <w:bottom w:val="none" w:sz="0" w:space="0" w:color="auto"/>
        <w:right w:val="none" w:sz="0" w:space="0" w:color="auto"/>
      </w:divBdr>
    </w:div>
    <w:div w:id="20381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987FF-9646-427F-8216-35DD5537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9741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2024-03-07T17:43:00Z</cp:lastPrinted>
  <dcterms:created xsi:type="dcterms:W3CDTF">2026-04-15T13:17:00Z</dcterms:created>
  <dcterms:modified xsi:type="dcterms:W3CDTF">2026-04-15T13:18:00Z</dcterms:modified>
</cp:coreProperties>
</file>