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84F69" w14:textId="77777777" w:rsidR="00523C95" w:rsidRPr="00523C95" w:rsidRDefault="00523C95" w:rsidP="00523C95">
      <w:pPr>
        <w:spacing w:after="0"/>
        <w:jc w:val="center"/>
        <w:rPr>
          <w:rFonts w:ascii="Arial" w:eastAsia="Times New Roman" w:hAnsi="Arial" w:cs="Arial"/>
          <w:b/>
          <w:bCs/>
          <w:sz w:val="24"/>
          <w:szCs w:val="24"/>
          <w:lang w:val="es-MX"/>
        </w:rPr>
      </w:pPr>
      <w:r w:rsidRPr="00523C95">
        <w:rPr>
          <w:rFonts w:ascii="Arial" w:eastAsia="Times New Roman" w:hAnsi="Arial" w:cs="Arial"/>
          <w:b/>
          <w:bCs/>
          <w:sz w:val="24"/>
          <w:szCs w:val="24"/>
          <w:lang w:val="es-MX"/>
        </w:rPr>
        <w:t>INFORME FINAL DE RENDICIÓN DE CUENTAS AL CIUDADANO</w:t>
      </w:r>
    </w:p>
    <w:p w14:paraId="76DB3580" w14:textId="77777777" w:rsidR="00523C95" w:rsidRPr="00523C95" w:rsidRDefault="00523C95" w:rsidP="00523C95">
      <w:pPr>
        <w:spacing w:after="0"/>
        <w:jc w:val="center"/>
        <w:rPr>
          <w:rFonts w:ascii="Arial" w:eastAsia="Times New Roman" w:hAnsi="Arial" w:cs="Arial"/>
          <w:b/>
          <w:bCs/>
          <w:sz w:val="24"/>
          <w:szCs w:val="24"/>
          <w:lang w:val="es-MX"/>
        </w:rPr>
      </w:pPr>
      <w:r w:rsidRPr="00523C95">
        <w:rPr>
          <w:rFonts w:ascii="Arial" w:eastAsia="Times New Roman" w:hAnsi="Arial" w:cs="Arial"/>
          <w:b/>
          <w:bCs/>
          <w:sz w:val="24"/>
          <w:szCs w:val="24"/>
          <w:lang w:val="es-MX"/>
        </w:rPr>
        <w:t>Punto 8 – Descripción cualitativa de los logros alcanzados y ejecutados en el ejercicio fiscal 2025.</w:t>
      </w:r>
    </w:p>
    <w:p w14:paraId="52A05ED8" w14:textId="77777777" w:rsidR="00523C95" w:rsidRPr="00523C95" w:rsidRDefault="00523C95" w:rsidP="00523C95">
      <w:pPr>
        <w:jc w:val="both"/>
        <w:rPr>
          <w:kern w:val="2"/>
          <w:lang w:val="es-AR"/>
          <w14:ligatures w14:val="standardContextual"/>
        </w:rPr>
      </w:pPr>
    </w:p>
    <w:p w14:paraId="006F8457" w14:textId="08C52BC9" w:rsidR="005F1C79" w:rsidRPr="005F1C79" w:rsidRDefault="005F1C79" w:rsidP="005F1C79">
      <w:pPr>
        <w:jc w:val="both"/>
        <w:rPr>
          <w:kern w:val="2"/>
          <w:lang w:val="es-AR"/>
          <w14:ligatures w14:val="standardContextual"/>
        </w:rPr>
      </w:pPr>
      <w:r w:rsidRPr="005F1C79">
        <w:rPr>
          <w:kern w:val="2"/>
          <w:lang w:val="es-AR"/>
          <w14:ligatures w14:val="standardContextual"/>
        </w:rPr>
        <w:t xml:space="preserve">El Ministerio de Desarrollo Social (MDS), creado por la Ley N.º 6.137/2018, es el ente rector de las políticas sociales del Paraguay. </w:t>
      </w:r>
      <w:r w:rsidRPr="00CE0DE7">
        <w:rPr>
          <w:kern w:val="2"/>
          <w:lang w:val="es-AR"/>
          <w14:ligatures w14:val="standardContextual"/>
        </w:rPr>
        <w:t xml:space="preserve">Su </w:t>
      </w:r>
      <w:r w:rsidR="007514A2" w:rsidRPr="00CE0DE7">
        <w:rPr>
          <w:kern w:val="2"/>
          <w:lang w:val="es-AR"/>
          <w14:ligatures w14:val="standardContextual"/>
        </w:rPr>
        <w:t>objeto</w:t>
      </w:r>
      <w:r w:rsidR="004048EB" w:rsidRPr="00CE0DE7">
        <w:rPr>
          <w:kern w:val="2"/>
          <w:lang w:val="es-AR"/>
          <w14:ligatures w14:val="standardContextual"/>
        </w:rPr>
        <w:t xml:space="preserve"> </w:t>
      </w:r>
      <w:r w:rsidRPr="00CE0DE7">
        <w:rPr>
          <w:kern w:val="2"/>
          <w:lang w:val="es-AR"/>
          <w14:ligatures w14:val="standardContextual"/>
        </w:rPr>
        <w:t>es</w:t>
      </w:r>
      <w:r w:rsidRPr="005F1C79">
        <w:rPr>
          <w:kern w:val="2"/>
          <w:lang w:val="es-AR"/>
          <w14:ligatures w14:val="standardContextual"/>
        </w:rPr>
        <w:t xml:space="preserve"> reducir las desigualdades y mejorar la calidad de vida de la población en situación de vulnerabilidad mediante la coordinación intersectorial a nivel nacional, departamental y distrital.</w:t>
      </w:r>
    </w:p>
    <w:p w14:paraId="51349F19" w14:textId="77777777" w:rsidR="005F1C79" w:rsidRPr="005F1C79" w:rsidRDefault="005F1C79" w:rsidP="005F1C79">
      <w:pPr>
        <w:jc w:val="both"/>
        <w:rPr>
          <w:kern w:val="2"/>
          <w:lang w:val="es-AR"/>
          <w14:ligatures w14:val="standardContextual"/>
        </w:rPr>
      </w:pPr>
      <w:r w:rsidRPr="005F1C79">
        <w:rPr>
          <w:kern w:val="2"/>
          <w:lang w:val="es-AR"/>
          <w14:ligatures w14:val="standardContextual"/>
        </w:rPr>
        <w:t>Bajo la conducción del ministro, en su rol de Coordinador General del Gabinete Social, se prioriza la intervención en los distritos más vulnerables, para esta intervención se ha instalado la Mesa de Protección Social en 26 distritos, esta instancia constituye una estrategia de gestión territorial reglamentada por la Resolución GS-MDS N.° 008/2025. Este sistema promueve la inclusión y la cohesión social, con especial énfasis en las poblaciones vulnerables y en situación de pobreza, y se encuentra alineado con el Plan Nacional de Reducción de la Pobreza Ñaime Porãvéta, principal instrumento del Estado paraguayo para la reducción de la pobreza monetaria y multidimensional.</w:t>
      </w:r>
    </w:p>
    <w:p w14:paraId="6AC86356" w14:textId="0F2D7399" w:rsidR="005F1C79" w:rsidRPr="00523C95" w:rsidRDefault="005F1C79" w:rsidP="005F1C79">
      <w:pPr>
        <w:jc w:val="both"/>
        <w:rPr>
          <w:kern w:val="2"/>
          <w:lang w:val="es-AR"/>
          <w14:ligatures w14:val="standardContextual"/>
        </w:rPr>
      </w:pPr>
      <w:r w:rsidRPr="005F1C79">
        <w:rPr>
          <w:kern w:val="2"/>
          <w:lang w:val="es-AR"/>
          <w14:ligatures w14:val="standardContextual"/>
        </w:rPr>
        <w:t xml:space="preserve">De esta manera, el MDS impulsa el desarrollo social sostenible e inclusivo, fortaleciendo la protección social, la inclusión económica y la promoción social. Con su nueva estructura organizacional, se optimizó la gestión y el impacto de sus intervenciones a través de los programas clave que administra, como Tekoporã, Tenonderã, Tekoha, Comedores y Centros Comunitarios, Asistencia a Pescadores (PROAP TN), Pensión </w:t>
      </w:r>
      <w:r w:rsidR="002F1097">
        <w:rPr>
          <w:kern w:val="2"/>
          <w:lang w:val="es-AR"/>
          <w14:ligatures w14:val="standardContextual"/>
        </w:rPr>
        <w:t>Universal</w:t>
      </w:r>
      <w:r w:rsidRPr="005F1C79">
        <w:rPr>
          <w:kern w:val="2"/>
          <w:lang w:val="es-AR"/>
          <w14:ligatures w14:val="standardContextual"/>
        </w:rPr>
        <w:t xml:space="preserve"> para Adultos Mayores y el programa de Alimentación Escolar “Hambre cero en nuestras Escuelas y Sistema Educativo”, cuyos avances se reflejan en los logros del Ejercicio Fiscal 2025.</w:t>
      </w:r>
    </w:p>
    <w:p w14:paraId="060202C7" w14:textId="7609744B" w:rsidR="00523C95" w:rsidRPr="00523C95" w:rsidRDefault="00523C95" w:rsidP="00523C95">
      <w:pPr>
        <w:jc w:val="both"/>
        <w:rPr>
          <w:b/>
          <w:bCs/>
          <w:kern w:val="2"/>
          <w:highlight w:val="green"/>
          <w:lang w:val="es-AR"/>
          <w14:ligatures w14:val="standardContextual"/>
        </w:rPr>
      </w:pPr>
      <w:r w:rsidRPr="00523C95">
        <w:rPr>
          <w:b/>
          <w:bCs/>
          <w:kern w:val="2"/>
          <w:lang w:val="es-AR"/>
          <w14:ligatures w14:val="standardContextual"/>
        </w:rPr>
        <w:t>PROTECCIÓN SOCIAL A FAMILIAS DE TEKOPORÃ</w:t>
      </w:r>
      <w:r w:rsidRPr="00523C95">
        <w:rPr>
          <w:b/>
          <w:bCs/>
          <w:kern w:val="2"/>
          <w:vertAlign w:val="superscript"/>
          <w:lang w:val="es-AR"/>
          <w14:ligatures w14:val="standardContextual"/>
        </w:rPr>
        <w:footnoteReference w:id="1"/>
      </w:r>
    </w:p>
    <w:p w14:paraId="16314338"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El programa de transferencia Monetaria con Corresponsabilidad, cuyo objetivo principal es mejorar la calidad de vida de la población participante, facilitando el ejercicio de los derechos a: alimentación, salud y educación, mediante el aumento del uso de servicios básicos y el fortalecimiento de las redes sociales, con el fin de cortar la transmisión intergeneracional de la pobreza.</w:t>
      </w:r>
    </w:p>
    <w:p w14:paraId="7AEC7449"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El programa cuenta con dos componentes, el acompañamiento sociofamiliar para el cumplimiento de las corresponsabilidades en salud y educación asumidas por las familias participantes con el propósito de fortalecer el capital humano de las personas; y la transferencia monetaria lo cual constituye un incentivo para el ejercicio de derecho de las familias.</w:t>
      </w:r>
    </w:p>
    <w:p w14:paraId="5C361685"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En cuanto al componente de transferencia monetaria, la cobertura del Programa al cierre del ejercicio fiscal alcanzó a unas 191,312 familias, de las cuales: 31.045 son familias indígenas y 24.898 familias con algún integrante con discapacidad severa.</w:t>
      </w:r>
    </w:p>
    <w:p w14:paraId="220ACBDA"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Asimismo, se logró el 100 % de bancarización de los pagos a las familias participantes, a nivel país.</w:t>
      </w:r>
    </w:p>
    <w:p w14:paraId="133B3461"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 xml:space="preserve">Entre otros logros se reflejan, en el marco de inclusión y actualizaciones, se fortaleció a funcionarios a través de capacitación en el marco del instrumento Registro Social de Hogares (RSH) aprobado por Resol. MDS. N.° 5145/2025. Se incluyeron a un total de 23.980 nuevas </w:t>
      </w:r>
      <w:r w:rsidRPr="00523C95">
        <w:rPr>
          <w:kern w:val="2"/>
          <w:lang w:val="es-AR"/>
          <w14:ligatures w14:val="standardContextual"/>
        </w:rPr>
        <w:lastRenderedPageBreak/>
        <w:t>familias en el último trimestre y se realizó la actualización de datos de unas 45.000 familias en el sistema SIGBE.</w:t>
      </w:r>
    </w:p>
    <w:p w14:paraId="615519F8"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En el marco del componente de Acompañamiento Sociofamiliar y Comunitario, se ha brindado atención a 138.317 familias a nivel nacional, de esta manera se fortaleció las capacidades mediante un promedio mensual de visitas y capacitaciones dirigidas a 82.808 participantes. Al mismo tiempo, se realizaron un total de 14.586 atenciones a familias registrando el cumplimiento de las metas propuestas</w:t>
      </w:r>
      <w:r w:rsidRPr="004163A7">
        <w:rPr>
          <w:kern w:val="2"/>
          <w:lang w:val="es-AR"/>
          <w14:ligatures w14:val="standardContextual"/>
        </w:rPr>
        <w:t>. También, se realizaron un total de 428 ferias productivas,</w:t>
      </w:r>
      <w:r w:rsidRPr="00523C95">
        <w:rPr>
          <w:kern w:val="2"/>
          <w:lang w:val="es-AR"/>
          <w14:ligatures w14:val="standardContextual"/>
        </w:rPr>
        <w:t xml:space="preserve"> se conformaron 496 comités comunitarios y se formaron a 5.746 madres líderes, promoviendo la organización y el liderazgo social. De igual manera, se contribuyó a la seguridad alimentaria y al desarrollo sostenible mediante la </w:t>
      </w:r>
      <w:r w:rsidRPr="004163A7">
        <w:rPr>
          <w:kern w:val="2"/>
          <w:lang w:val="es-AR"/>
          <w14:ligatures w14:val="standardContextual"/>
        </w:rPr>
        <w:t>instalación de 4.630 huertas a nivel nacional.</w:t>
      </w:r>
      <w:r w:rsidRPr="00523C95">
        <w:rPr>
          <w:kern w:val="2"/>
          <w:lang w:val="es-AR"/>
          <w14:ligatures w14:val="standardContextual"/>
        </w:rPr>
        <w:t xml:space="preserve"> </w:t>
      </w:r>
    </w:p>
    <w:p w14:paraId="18D229CB"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De este modo, el programa Tekoporã Mbarete sigue avanzando en su misión de mejorar la calidad de vida de las familias más vulnerables, mediante un enfoque integral de acompañamiento y apoyo económico.</w:t>
      </w:r>
    </w:p>
    <w:p w14:paraId="519A1D66" w14:textId="77777777" w:rsidR="00523C95" w:rsidRPr="00523C95" w:rsidRDefault="00523C95" w:rsidP="00523C95">
      <w:pPr>
        <w:spacing w:after="0"/>
        <w:jc w:val="both"/>
        <w:rPr>
          <w:b/>
          <w:bCs/>
          <w:kern w:val="2"/>
          <w:lang w:val="es-AR"/>
          <w14:ligatures w14:val="standardContextual"/>
        </w:rPr>
      </w:pPr>
      <w:r w:rsidRPr="00523C95">
        <w:rPr>
          <w:b/>
          <w:bCs/>
          <w:kern w:val="2"/>
          <w:lang w:val="es-AR"/>
          <w14:ligatures w14:val="standardContextual"/>
        </w:rPr>
        <w:t>FOMENTO DE MICROEMPRENDIMIENTOS A PARTICIPANTES DE TENONDERÃ</w:t>
      </w:r>
      <w:r w:rsidRPr="00523C95">
        <w:rPr>
          <w:b/>
          <w:bCs/>
          <w:kern w:val="2"/>
          <w:vertAlign w:val="superscript"/>
          <w:lang w:val="es-AR"/>
          <w14:ligatures w14:val="standardContextual"/>
        </w:rPr>
        <w:footnoteReference w:id="2"/>
      </w:r>
      <w:r w:rsidRPr="00523C95">
        <w:rPr>
          <w:b/>
          <w:bCs/>
          <w:kern w:val="2"/>
          <w:lang w:val="es-AR"/>
          <w14:ligatures w14:val="standardContextual"/>
        </w:rPr>
        <w:t xml:space="preserve"> </w:t>
      </w:r>
    </w:p>
    <w:p w14:paraId="2066A4ED" w14:textId="77777777" w:rsidR="00523C95" w:rsidRPr="00523C95" w:rsidRDefault="00523C95" w:rsidP="00523C95">
      <w:pPr>
        <w:spacing w:after="0"/>
        <w:jc w:val="both"/>
        <w:rPr>
          <w:b/>
          <w:bCs/>
          <w:kern w:val="2"/>
          <w:lang w:val="es-AR"/>
          <w14:ligatures w14:val="standardContextual"/>
        </w:rPr>
      </w:pPr>
    </w:p>
    <w:p w14:paraId="1CD1EDE5" w14:textId="77777777" w:rsidR="00523C95" w:rsidRPr="00523C95" w:rsidRDefault="00523C95" w:rsidP="00523C95">
      <w:pPr>
        <w:spacing w:after="0"/>
        <w:jc w:val="both"/>
        <w:rPr>
          <w:kern w:val="2"/>
          <w:lang w:val="es-AR"/>
          <w14:ligatures w14:val="standardContextual"/>
        </w:rPr>
      </w:pPr>
      <w:r w:rsidRPr="00523C95">
        <w:rPr>
          <w:kern w:val="2"/>
          <w:lang w:val="es-AR"/>
          <w14:ligatures w14:val="standardContextual"/>
        </w:rPr>
        <w:t>El Programa Tenonderã tiene el objetivo de promover la inclusión socioeconómica de personas provenientes de hogares participantes del Programa Tekoporã, de áreas urbanas y rurales, a través de emprendimientos, para el aumento de sus ingresos autónomos y sostenibles.</w:t>
      </w:r>
    </w:p>
    <w:p w14:paraId="3CA01CD8" w14:textId="77777777" w:rsidR="00523C95" w:rsidRPr="00523C95" w:rsidRDefault="00523C95" w:rsidP="00523C95">
      <w:pPr>
        <w:spacing w:after="0"/>
        <w:jc w:val="both"/>
        <w:rPr>
          <w:kern w:val="2"/>
          <w:lang w:val="es-AR"/>
          <w14:ligatures w14:val="standardContextual"/>
        </w:rPr>
      </w:pPr>
    </w:p>
    <w:p w14:paraId="657F5C37" w14:textId="77777777" w:rsidR="00523C95" w:rsidRPr="00523C95" w:rsidRDefault="00523C95" w:rsidP="00523C95">
      <w:pPr>
        <w:spacing w:after="0"/>
        <w:jc w:val="both"/>
        <w:rPr>
          <w:kern w:val="2"/>
          <w:lang w:val="es-AR"/>
          <w14:ligatures w14:val="standardContextual"/>
        </w:rPr>
      </w:pPr>
      <w:r w:rsidRPr="00523C95">
        <w:rPr>
          <w:kern w:val="2"/>
          <w:lang w:val="es-AR"/>
          <w14:ligatures w14:val="standardContextual"/>
        </w:rPr>
        <w:t>Cuenta con decreto 8.231/2017 “por el cual se aprueba el Programa Tenonderã de apoyo a la promoción e inclusión socioeconómica de familias en situación de pobreza”</w:t>
      </w:r>
    </w:p>
    <w:p w14:paraId="62018A56" w14:textId="77777777" w:rsidR="00523C95" w:rsidRPr="00523C95" w:rsidRDefault="00523C95" w:rsidP="00523C95">
      <w:pPr>
        <w:spacing w:after="0"/>
        <w:jc w:val="both"/>
        <w:rPr>
          <w:kern w:val="2"/>
          <w:lang w:val="es-AR"/>
          <w14:ligatures w14:val="standardContextual"/>
        </w:rPr>
      </w:pPr>
    </w:p>
    <w:p w14:paraId="7024F5B5" w14:textId="77777777" w:rsidR="00523C95" w:rsidRPr="00523C95" w:rsidRDefault="00523C95" w:rsidP="00523C95">
      <w:pPr>
        <w:spacing w:after="0"/>
        <w:jc w:val="both"/>
        <w:rPr>
          <w:kern w:val="2"/>
          <w:lang w:val="es-AR"/>
          <w14:ligatures w14:val="standardContextual"/>
        </w:rPr>
      </w:pPr>
      <w:r w:rsidRPr="00523C95">
        <w:rPr>
          <w:kern w:val="2"/>
          <w:lang w:val="es-AR"/>
          <w14:ligatures w14:val="standardContextual"/>
        </w:rPr>
        <w:t>En el 2025 el Programa incluyó a 7.125 personas de las cuales 88% son mujeres. Con cobertura en 162 distritos de 17 departamentos, alcanzando un 78% en el área rural. Además, 679 personas con discapacidad participaron del Programa.</w:t>
      </w:r>
    </w:p>
    <w:p w14:paraId="54F3133E" w14:textId="77777777" w:rsidR="00523C95" w:rsidRPr="00523C95" w:rsidRDefault="00523C95" w:rsidP="00523C95">
      <w:pPr>
        <w:spacing w:after="0"/>
        <w:jc w:val="both"/>
        <w:rPr>
          <w:kern w:val="2"/>
          <w:lang w:val="es-AR"/>
          <w14:ligatures w14:val="standardContextual"/>
        </w:rPr>
      </w:pPr>
    </w:p>
    <w:p w14:paraId="0C362059" w14:textId="5F76BF81" w:rsidR="00523C95" w:rsidRPr="00523C95" w:rsidRDefault="00523C95" w:rsidP="00523C95">
      <w:pPr>
        <w:spacing w:after="0"/>
        <w:jc w:val="both"/>
        <w:rPr>
          <w:kern w:val="2"/>
          <w:lang w:val="es-AR"/>
          <w14:ligatures w14:val="standardContextual"/>
        </w:rPr>
      </w:pPr>
      <w:r>
        <w:rPr>
          <w:kern w:val="2"/>
          <w:lang w:val="es-AR"/>
          <w14:ligatures w14:val="standardContextual"/>
        </w:rPr>
        <w:t xml:space="preserve">El capital </w:t>
      </w:r>
      <w:r w:rsidRPr="00523C95">
        <w:rPr>
          <w:kern w:val="2"/>
          <w:lang w:val="es-AR"/>
          <w14:ligatures w14:val="standardContextual"/>
        </w:rPr>
        <w:t xml:space="preserve">semilla es de 4.000.000, y el monto total desembolsado en el año alcanzado 28.500.000.000, con 100% de los participantes bancarizados. </w:t>
      </w:r>
    </w:p>
    <w:p w14:paraId="13839C40" w14:textId="77777777" w:rsidR="00523C95" w:rsidRPr="00523C95" w:rsidRDefault="00523C95" w:rsidP="00523C95">
      <w:pPr>
        <w:spacing w:after="0"/>
        <w:jc w:val="both"/>
        <w:rPr>
          <w:kern w:val="2"/>
          <w:lang w:val="es-AR"/>
          <w14:ligatures w14:val="standardContextual"/>
        </w:rPr>
      </w:pPr>
    </w:p>
    <w:p w14:paraId="3B0DF348" w14:textId="77777777" w:rsidR="00523C95" w:rsidRPr="00523C95" w:rsidRDefault="00523C95" w:rsidP="00523C95">
      <w:pPr>
        <w:spacing w:after="0"/>
        <w:jc w:val="both"/>
        <w:rPr>
          <w:kern w:val="2"/>
          <w:lang w:val="es-AR"/>
          <w14:ligatures w14:val="standardContextual"/>
        </w:rPr>
      </w:pPr>
      <w:r w:rsidRPr="00523C95">
        <w:rPr>
          <w:kern w:val="2"/>
          <w:lang w:val="es-AR"/>
          <w14:ligatures w14:val="standardContextual"/>
        </w:rPr>
        <w:t>El sector pecuario, que incluye producción bovina, porcina y avícola, representa más del 59% de los emprendimientos.</w:t>
      </w:r>
    </w:p>
    <w:p w14:paraId="213AD531" w14:textId="77777777" w:rsidR="00523C95" w:rsidRPr="00523C95" w:rsidRDefault="00523C95" w:rsidP="00523C95">
      <w:pPr>
        <w:spacing w:after="0"/>
        <w:jc w:val="both"/>
        <w:rPr>
          <w:kern w:val="2"/>
          <w:lang w:val="es-AR"/>
          <w14:ligatures w14:val="standardContextual"/>
        </w:rPr>
      </w:pPr>
    </w:p>
    <w:p w14:paraId="69118FF1" w14:textId="77777777" w:rsidR="00523C95" w:rsidRPr="00523C95" w:rsidRDefault="00523C95" w:rsidP="00523C95">
      <w:pPr>
        <w:spacing w:after="0"/>
        <w:jc w:val="both"/>
        <w:rPr>
          <w:kern w:val="2"/>
          <w:lang w:val="es-AR"/>
          <w14:ligatures w14:val="standardContextual"/>
        </w:rPr>
      </w:pPr>
      <w:r w:rsidRPr="00523C95">
        <w:rPr>
          <w:kern w:val="2"/>
          <w:lang w:val="es-AR"/>
          <w14:ligatures w14:val="standardContextual"/>
        </w:rPr>
        <w:t xml:space="preserve">A través de los componentes de Fortalecimiento de Capacidades y Acompañamiento y seguimiento Técnico, se fortaleció la capacidad de 17.152 participantes en módulos de habilidades blandas, emprendedoras y financieras. Asimismo, el acompañamiento y seguimiento técnico alcanzo 11.908 participantes, superando las metas en ambos componentes. En grado porcentual, ambos alcanzaron el 89% de participación de mujeres y el 11% de varones. </w:t>
      </w:r>
    </w:p>
    <w:p w14:paraId="61CBF3E7" w14:textId="77777777" w:rsidR="00523C95" w:rsidRPr="00523C95" w:rsidRDefault="00523C95" w:rsidP="00523C95">
      <w:pPr>
        <w:spacing w:after="0"/>
        <w:jc w:val="both"/>
        <w:rPr>
          <w:kern w:val="2"/>
          <w:lang w:val="es-AR"/>
          <w14:ligatures w14:val="standardContextual"/>
        </w:rPr>
      </w:pPr>
    </w:p>
    <w:p w14:paraId="6858DF93" w14:textId="77777777" w:rsidR="00523C95" w:rsidRPr="00523C95" w:rsidRDefault="00523C95" w:rsidP="00523C95">
      <w:pPr>
        <w:spacing w:after="0"/>
        <w:jc w:val="both"/>
        <w:rPr>
          <w:kern w:val="2"/>
          <w:lang w:val="es-AR"/>
          <w14:ligatures w14:val="standardContextual"/>
        </w:rPr>
      </w:pPr>
      <w:r w:rsidRPr="00523C95">
        <w:rPr>
          <w:kern w:val="2"/>
          <w:lang w:val="es-AR"/>
          <w14:ligatures w14:val="standardContextual"/>
        </w:rPr>
        <w:t xml:space="preserve">Como otros logros alcanzados se puede mencionar el seguimiento a la implementación del Proyecto Empoderamiento Económico de Mujeres en el Departamento de Alto Paraná; la evaluación y monitoreo a los participantes del Proyecto Empoderamiento económico de mujeres en el Departamento Central; la validación de los criterios para selección de participantes; el fortalecimiento de participantes que ya cuentan con emprendimientos, la vinculación de participantes emprendedores a mercados a través de ruedas de negocio en los distritos de la </w:t>
      </w:r>
      <w:r w:rsidRPr="00523C95">
        <w:rPr>
          <w:kern w:val="2"/>
          <w:lang w:val="es-AR"/>
          <w14:ligatures w14:val="standardContextual"/>
        </w:rPr>
        <w:lastRenderedPageBreak/>
        <w:t>Mesa de Protección Social (MPS), el aumento de inclusión de participantes en los distritos priorizados por la MPS, el fortalecimiento permanente del equipo técnico, la mejora continua en los instrumentos del Programa y su aplicación.</w:t>
      </w:r>
    </w:p>
    <w:p w14:paraId="3485F181" w14:textId="77777777" w:rsidR="00523C95" w:rsidRPr="00523C95" w:rsidRDefault="00523C95" w:rsidP="00523C95">
      <w:pPr>
        <w:rPr>
          <w:b/>
          <w:bCs/>
          <w:kern w:val="2"/>
          <w:lang w:val="es-AR"/>
          <w14:ligatures w14:val="standardContextual"/>
        </w:rPr>
      </w:pPr>
    </w:p>
    <w:p w14:paraId="118EB94F" w14:textId="77777777" w:rsidR="00523C95" w:rsidRPr="00523C95" w:rsidRDefault="00523C95" w:rsidP="00523C95">
      <w:pPr>
        <w:spacing w:after="0"/>
        <w:jc w:val="both"/>
        <w:rPr>
          <w:b/>
          <w:bCs/>
          <w:kern w:val="2"/>
          <w:highlight w:val="green"/>
          <w:lang w:val="es-AR"/>
          <w14:ligatures w14:val="standardContextual"/>
        </w:rPr>
      </w:pPr>
      <w:r w:rsidRPr="00523C95">
        <w:rPr>
          <w:b/>
          <w:bCs/>
          <w:kern w:val="2"/>
          <w:lang w:val="es-AR"/>
          <w14:ligatures w14:val="standardContextual"/>
        </w:rPr>
        <w:t>REGULARIZACIÓN DE TERRITORIOS SOCIALES - TEKOHA</w:t>
      </w:r>
      <w:r w:rsidRPr="00523C95">
        <w:rPr>
          <w:b/>
          <w:bCs/>
          <w:kern w:val="2"/>
          <w:vertAlign w:val="superscript"/>
          <w:lang w:val="es-AR"/>
          <w14:ligatures w14:val="standardContextual"/>
        </w:rPr>
        <w:footnoteReference w:id="3"/>
      </w:r>
      <w:r w:rsidRPr="00523C95">
        <w:rPr>
          <w:b/>
          <w:bCs/>
          <w:kern w:val="2"/>
          <w:highlight w:val="green"/>
          <w:lang w:val="es-AR"/>
          <w14:ligatures w14:val="standardContextual"/>
        </w:rPr>
        <w:t xml:space="preserve"> </w:t>
      </w:r>
    </w:p>
    <w:p w14:paraId="2B67BE34" w14:textId="77777777" w:rsidR="00523C95" w:rsidRPr="00523C95" w:rsidRDefault="00523C95" w:rsidP="00523C95">
      <w:pPr>
        <w:spacing w:after="0"/>
        <w:jc w:val="both"/>
        <w:rPr>
          <w:b/>
          <w:bCs/>
          <w:kern w:val="2"/>
          <w:highlight w:val="green"/>
          <w:lang w:val="es-AR"/>
          <w14:ligatures w14:val="standardContextual"/>
        </w:rPr>
      </w:pPr>
    </w:p>
    <w:p w14:paraId="45F894B3" w14:textId="77777777" w:rsidR="00523C95" w:rsidRPr="00523C95" w:rsidRDefault="00523C95" w:rsidP="00523C95">
      <w:pPr>
        <w:spacing w:after="0"/>
        <w:jc w:val="both"/>
        <w:rPr>
          <w:kern w:val="2"/>
          <w:lang w:val="es-AR"/>
          <w14:ligatures w14:val="standardContextual"/>
        </w:rPr>
      </w:pPr>
      <w:r w:rsidRPr="00523C95">
        <w:rPr>
          <w:kern w:val="2"/>
          <w:lang w:val="es-AR"/>
          <w14:ligatures w14:val="standardContextual"/>
        </w:rPr>
        <w:t>El Programa de Desarrollo y Apoyo Social a los Asentamientos urbanos y suburbanos tiene como objetivo mejorar la calidad de vida de las familias en situación de pobreza o pobreza extrema. Esto se logra a través de atención integral, mejoramiento del hábitat y facilitando el acceso a servicios públicos básicos, todo en un entorno medioambientalmente favorable.</w:t>
      </w:r>
    </w:p>
    <w:p w14:paraId="6C6D7FA0" w14:textId="77777777" w:rsidR="00523C95" w:rsidRPr="00523C95" w:rsidRDefault="00523C95" w:rsidP="00523C95">
      <w:pPr>
        <w:spacing w:after="0"/>
        <w:jc w:val="both"/>
        <w:rPr>
          <w:kern w:val="2"/>
          <w:lang w:val="es-AR"/>
          <w14:ligatures w14:val="standardContextual"/>
        </w:rPr>
      </w:pPr>
    </w:p>
    <w:p w14:paraId="3FC60CD8"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Al cierre del presente ejercicio fiscal, el Programa Tekoha adjudicó 1.244 lotes, regularizando la propiedad a través de la firma de contratos de compraventa en diversos territorios sociales. Desde su inicio, el programa ha firmado contrato compra venta con un total de 36.702 familias participantes.</w:t>
      </w:r>
    </w:p>
    <w:p w14:paraId="2BE78DB7" w14:textId="77777777" w:rsidR="00523C95" w:rsidRPr="00523C95" w:rsidRDefault="00523C95" w:rsidP="00523C95">
      <w:pPr>
        <w:jc w:val="both"/>
        <w:rPr>
          <w:b/>
          <w:bCs/>
          <w:kern w:val="2"/>
          <w:lang w:val="es-AR"/>
          <w14:ligatures w14:val="standardContextual"/>
        </w:rPr>
      </w:pPr>
      <w:r w:rsidRPr="00523C95">
        <w:rPr>
          <w:kern w:val="2"/>
          <w:lang w:val="es-AR"/>
          <w14:ligatures w14:val="standardContextual"/>
        </w:rPr>
        <w:t>Como parte del fortalecimiento del programa, se creó el departamento de Desarrollo Comunitario, que ya cuenta con su Procedimiento Operativo aprobado y que se encuentra en ejecución.</w:t>
      </w:r>
    </w:p>
    <w:p w14:paraId="6D3477C0"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Al cierre del ejercicio fiscal, el Programa, cuenta con 620 Territorios Sociales en 13 departamentos y la capital, de los cuales 490 están regularizados. Además, se adquirió por vía de la excepción, 1 territorio social.</w:t>
      </w:r>
    </w:p>
    <w:p w14:paraId="10E2EB87" w14:textId="77777777" w:rsidR="00523C95" w:rsidRPr="00523C95" w:rsidRDefault="00523C95" w:rsidP="00523C95">
      <w:pPr>
        <w:jc w:val="both"/>
        <w:rPr>
          <w:b/>
          <w:bCs/>
          <w:kern w:val="2"/>
          <w:lang w:val="es-AR"/>
          <w14:ligatures w14:val="standardContextual"/>
        </w:rPr>
      </w:pPr>
      <w:r w:rsidRPr="00523C95">
        <w:rPr>
          <w:kern w:val="2"/>
          <w:lang w:val="es-AR"/>
          <w14:ligatures w14:val="standardContextual"/>
        </w:rPr>
        <w:t>En cuanto a la regularización de territorios sociales en el Departamento Central, se inició el proceso de regularización de 52 territorios sociales con la colaboración de la Consultora de Servicios Topográficos. La regularización mejora el acceso a servicios y contribuye a una mejor calidad de vida.</w:t>
      </w:r>
    </w:p>
    <w:p w14:paraId="6C72475F"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 xml:space="preserve">El programa supero con eficiencia la meta establecida de la aplicación del Registro Social de Hogares en un 118%, llegando a 1.763 registros. </w:t>
      </w:r>
    </w:p>
    <w:p w14:paraId="7B7893AC" w14:textId="4B0038C6" w:rsidR="00523C95" w:rsidRPr="00C13BBD" w:rsidRDefault="00523C95" w:rsidP="00C13BBD">
      <w:pPr>
        <w:jc w:val="both"/>
        <w:rPr>
          <w:kern w:val="2"/>
          <w:lang w:val="es-AR"/>
          <w14:ligatures w14:val="standardContextual"/>
        </w:rPr>
      </w:pPr>
      <w:r w:rsidRPr="00523C95">
        <w:rPr>
          <w:kern w:val="2"/>
          <w:lang w:val="es-AR"/>
          <w14:ligatures w14:val="standardContextual"/>
        </w:rPr>
        <w:t>Cabe destacar que el programa con todos sus departamentos realizó un total de 8.110 atenciones a participantes en la sede central.</w:t>
      </w:r>
      <w:bookmarkStart w:id="0" w:name="_GoBack"/>
      <w:bookmarkEnd w:id="0"/>
    </w:p>
    <w:p w14:paraId="5325F6A5" w14:textId="5E83A5B2" w:rsidR="00523C95" w:rsidRPr="00523C95" w:rsidRDefault="00523C95" w:rsidP="00523C95">
      <w:pPr>
        <w:rPr>
          <w:b/>
          <w:bCs/>
          <w:kern w:val="2"/>
          <w:lang w:val="es-AR"/>
          <w14:ligatures w14:val="standardContextual"/>
        </w:rPr>
      </w:pPr>
      <w:r w:rsidRPr="00523C95">
        <w:rPr>
          <w:b/>
          <w:bCs/>
          <w:kern w:val="2"/>
          <w:lang w:val="es-AR"/>
          <w14:ligatures w14:val="standardContextual"/>
        </w:rPr>
        <w:t>ASISTENCIA A PESCADORES POR VEDA PESQUERA</w:t>
      </w:r>
      <w:r w:rsidRPr="00523C95">
        <w:rPr>
          <w:b/>
          <w:bCs/>
          <w:kern w:val="2"/>
          <w:vertAlign w:val="superscript"/>
          <w:lang w:val="es-AR"/>
          <w14:ligatures w14:val="standardContextual"/>
        </w:rPr>
        <w:footnoteReference w:id="4"/>
      </w:r>
      <w:r w:rsidRPr="00523C95">
        <w:rPr>
          <w:b/>
          <w:bCs/>
          <w:kern w:val="2"/>
          <w:lang w:val="es-AR"/>
          <w14:ligatures w14:val="standardContextual"/>
        </w:rPr>
        <w:t xml:space="preserve"> </w:t>
      </w:r>
    </w:p>
    <w:p w14:paraId="7273FEF7"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En el marco de lo establecido en el Decreto N.° 2319/2014 y el Decreto N.° 2864/2019, el Ministerio de Desarrollo Social, a través del Programa de Asistencia a Pescadores del Territorio Nacional, brinda apoyo en el periodo de veda a los pescadores comerciales cuya única actividad generadora de ingresos es la pesca.</w:t>
      </w:r>
    </w:p>
    <w:p w14:paraId="67094091" w14:textId="77777777" w:rsidR="00523C95" w:rsidRPr="00523C95" w:rsidRDefault="00523C95" w:rsidP="00523C95">
      <w:pPr>
        <w:jc w:val="both"/>
        <w:rPr>
          <w:kern w:val="2"/>
          <w:lang w:val="es-AR"/>
          <w14:ligatures w14:val="standardContextual"/>
        </w:rPr>
      </w:pPr>
      <w:r w:rsidRPr="00523C95">
        <w:rPr>
          <w:kern w:val="2"/>
          <w:lang w:val="es-AR"/>
          <w14:ligatures w14:val="standardContextual"/>
        </w:rPr>
        <w:t xml:space="preserve">Al cierre del ejercicio fiscal, el programa registró un total de 4.916 pescadores habilitados para el cobro del Subsidio por Veda Pesquera, distribuidos en los Departamentos de Alto Paraguay, Alto Paraná, Caazapá, Canindeyú, Capital, Central, Concepción, Cordillera, Itapúa, Misiones, Ñeembucú, Paraguarí, Presidente Hayes y San Pedro. </w:t>
      </w:r>
    </w:p>
    <w:p w14:paraId="68FED7CF" w14:textId="77777777" w:rsidR="00523C95" w:rsidRPr="00523C95" w:rsidRDefault="00523C95" w:rsidP="000A028C">
      <w:pPr>
        <w:spacing w:after="0" w:line="240" w:lineRule="auto"/>
        <w:jc w:val="both"/>
        <w:rPr>
          <w:kern w:val="2"/>
          <w:lang w:val="es-AR"/>
          <w14:ligatures w14:val="standardContextual"/>
        </w:rPr>
      </w:pPr>
      <w:r w:rsidRPr="00523C95">
        <w:rPr>
          <w:kern w:val="2"/>
          <w:lang w:val="es-AR"/>
          <w14:ligatures w14:val="standardContextual"/>
        </w:rPr>
        <w:lastRenderedPageBreak/>
        <w:t xml:space="preserve">Del total de pescadores habilitados, 959 corresponden a población indígena, residentes en los Departamentos de Alto Paraguay y Presidente Hayes. De este grupo, 55% de la titularidad está constituida por varones y un 45% por mujeres. </w:t>
      </w:r>
    </w:p>
    <w:p w14:paraId="13AA17F0" w14:textId="77777777" w:rsidR="00523C95" w:rsidRPr="00523C95" w:rsidRDefault="00523C95" w:rsidP="000A028C">
      <w:pPr>
        <w:spacing w:after="0" w:line="240" w:lineRule="auto"/>
        <w:jc w:val="both"/>
        <w:rPr>
          <w:kern w:val="2"/>
          <w:lang w:val="es-AR"/>
          <w14:ligatures w14:val="standardContextual"/>
        </w:rPr>
      </w:pPr>
      <w:r w:rsidRPr="00523C95">
        <w:rPr>
          <w:kern w:val="2"/>
          <w:lang w:val="es-AR"/>
          <w14:ligatures w14:val="standardContextual"/>
        </w:rPr>
        <w:t>En términos porcentuales general, la titularidad se compone en un 80% de varones y un 20% por mujeres. Asimismo, el 20 % pertenece a población indígena y el 3% corresponde a personas adultas mayores.</w:t>
      </w:r>
    </w:p>
    <w:p w14:paraId="7F650FB3" w14:textId="77777777" w:rsidR="00523C95" w:rsidRPr="00523C95" w:rsidRDefault="00523C95" w:rsidP="000A028C">
      <w:pPr>
        <w:spacing w:after="0" w:line="240" w:lineRule="auto"/>
        <w:ind w:right="-227"/>
        <w:rPr>
          <w:rFonts w:ascii="Times New Roman" w:eastAsia="Times New Roman" w:hAnsi="Times New Roman" w:cs="Times New Roman"/>
          <w:sz w:val="16"/>
          <w:szCs w:val="16"/>
        </w:rPr>
      </w:pPr>
    </w:p>
    <w:p w14:paraId="63184B19" w14:textId="521FAAD4" w:rsidR="00523C95" w:rsidRPr="00523C95" w:rsidRDefault="00AC2613" w:rsidP="000A028C">
      <w:pPr>
        <w:spacing w:after="0" w:line="240" w:lineRule="auto"/>
        <w:jc w:val="both"/>
        <w:rPr>
          <w:kern w:val="2"/>
          <w:lang w:val="es-AR"/>
          <w14:ligatures w14:val="standardContextual"/>
        </w:rPr>
      </w:pPr>
      <w:r>
        <w:rPr>
          <w:kern w:val="2"/>
          <w:lang w:val="es-AR"/>
          <w14:ligatures w14:val="standardContextual"/>
        </w:rPr>
        <w:t>Así también</w:t>
      </w:r>
      <w:r w:rsidR="00523C95" w:rsidRPr="00523C95">
        <w:rPr>
          <w:kern w:val="2"/>
          <w:lang w:val="es-AR"/>
          <w14:ligatures w14:val="standardContextual"/>
        </w:rPr>
        <w:t>, se realizaron importantes gestiones que contribuyeron a los logros alcanzados. En este contexto, se llevaron a cabo reuniones interinstitucionales con el Ministerio del Ambiente y Desarrollo Sostenible (MADES), en el marco de revisión de la Lista de Pescadores 2025 y del Plan Piloto de Capacitación, Comercialización, Emprendedurismo y Formalización, iniciado en 2024.</w:t>
      </w:r>
    </w:p>
    <w:p w14:paraId="3605EEB3" w14:textId="77777777" w:rsidR="00523C95" w:rsidRPr="00523C95" w:rsidRDefault="00523C95" w:rsidP="000A028C">
      <w:pPr>
        <w:spacing w:after="0" w:line="240" w:lineRule="auto"/>
        <w:jc w:val="both"/>
        <w:rPr>
          <w:kern w:val="2"/>
          <w:lang w:val="es-AR"/>
          <w14:ligatures w14:val="standardContextual"/>
        </w:rPr>
      </w:pPr>
    </w:p>
    <w:p w14:paraId="1CA32318" w14:textId="77777777" w:rsidR="00523C95" w:rsidRPr="00523C95" w:rsidRDefault="00523C95" w:rsidP="000A028C">
      <w:pPr>
        <w:spacing w:after="0" w:line="240" w:lineRule="auto"/>
        <w:jc w:val="both"/>
        <w:rPr>
          <w:kern w:val="2"/>
          <w:lang w:val="es-AR"/>
          <w14:ligatures w14:val="standardContextual"/>
        </w:rPr>
      </w:pPr>
      <w:r w:rsidRPr="00523C95">
        <w:rPr>
          <w:kern w:val="2"/>
          <w:lang w:val="es-AR"/>
          <w14:ligatures w14:val="standardContextual"/>
        </w:rPr>
        <w:t>Como parte de este proceso, se realizó el seguimiento correspondiente con la Asociación de Pescadores Profesionales Unidos de San Antonio y se desarrollaron encuentros con pescadores de la Asociación de Ita Enramada, dirigentes de las Asociaciones de Pescadores de Lambaré y Villa Elisa, la Asociación de Vendedoras de Pescado de Mariano Roque Alonso y la Asociación de Comedores de Mariano Roque Alonso. En dichas instancias, se presentó el Plan Piloto y sus primeros resultados, además de llevarse a cabo reuniones de análisis y relevamiento del interés para la implementación de proyectos orientados a la mejora de la calidad de vida de los participantes.</w:t>
      </w:r>
    </w:p>
    <w:p w14:paraId="39860FEF" w14:textId="77777777" w:rsidR="00523C95" w:rsidRPr="00523C95" w:rsidRDefault="00523C95" w:rsidP="000A028C">
      <w:pPr>
        <w:spacing w:after="0" w:line="240" w:lineRule="auto"/>
        <w:jc w:val="both"/>
        <w:rPr>
          <w:kern w:val="2"/>
          <w:lang w:val="es-AR"/>
          <w14:ligatures w14:val="standardContextual"/>
        </w:rPr>
      </w:pPr>
    </w:p>
    <w:p w14:paraId="671E10D9" w14:textId="77777777" w:rsidR="00523C95" w:rsidRPr="00523C95" w:rsidRDefault="00523C95" w:rsidP="000A028C">
      <w:pPr>
        <w:spacing w:after="0" w:line="240" w:lineRule="auto"/>
        <w:jc w:val="both"/>
        <w:rPr>
          <w:kern w:val="2"/>
          <w:lang w:val="es-AR"/>
          <w14:ligatures w14:val="standardContextual"/>
        </w:rPr>
      </w:pPr>
      <w:r w:rsidRPr="00523C95">
        <w:rPr>
          <w:kern w:val="2"/>
          <w:lang w:val="es-AR"/>
          <w14:ligatures w14:val="standardContextual"/>
        </w:rPr>
        <w:t>En el marco del diseño del Programa de Asistencia a Pescadores, se realizaron reuniones de trabajo con Directivos y Técnicos del Viceministerio de Políticas Sociales; así como también el primer encuentro con dirigentes y pescadores de la zona de Ayolas.</w:t>
      </w:r>
    </w:p>
    <w:p w14:paraId="07794A8C" w14:textId="77777777" w:rsidR="00523C95" w:rsidRPr="00523C95" w:rsidRDefault="00523C95" w:rsidP="00523C95">
      <w:pPr>
        <w:jc w:val="both"/>
        <w:rPr>
          <w:rFonts w:ascii="Times New Roman" w:hAnsi="Times New Roman" w:cs="Times New Roman"/>
          <w:kern w:val="2"/>
          <w:sz w:val="20"/>
          <w:szCs w:val="20"/>
          <w:lang w:val="es-AR"/>
          <w14:ligatures w14:val="standardContextual"/>
        </w:rPr>
      </w:pPr>
    </w:p>
    <w:p w14:paraId="532D9E0C" w14:textId="77777777" w:rsidR="00523C95" w:rsidRPr="00523C95" w:rsidRDefault="00523C95" w:rsidP="00523C95">
      <w:pPr>
        <w:rPr>
          <w:b/>
          <w:bCs/>
          <w:kern w:val="2"/>
          <w:lang w:val="es-AR"/>
          <w14:ligatures w14:val="standardContextual"/>
        </w:rPr>
      </w:pPr>
      <w:r w:rsidRPr="00523C95">
        <w:rPr>
          <w:b/>
          <w:bCs/>
          <w:kern w:val="2"/>
          <w:lang w:val="es-AR"/>
          <w14:ligatures w14:val="standardContextual"/>
        </w:rPr>
        <w:t>ATENCIÓN SOCIAL Y COMEDORES COMUNITARIOS</w:t>
      </w:r>
      <w:r w:rsidRPr="00523C95">
        <w:rPr>
          <w:b/>
          <w:bCs/>
          <w:kern w:val="2"/>
          <w:vertAlign w:val="superscript"/>
          <w:lang w:val="es-AR"/>
          <w14:ligatures w14:val="standardContextual"/>
        </w:rPr>
        <w:footnoteReference w:id="5"/>
      </w:r>
    </w:p>
    <w:p w14:paraId="7A7A2799" w14:textId="77777777" w:rsidR="00C75105" w:rsidRPr="00523C95" w:rsidRDefault="00C75105" w:rsidP="00C75105">
      <w:pPr>
        <w:jc w:val="both"/>
        <w:rPr>
          <w:kern w:val="2"/>
          <w:lang w:val="es-AR"/>
          <w14:ligatures w14:val="standardContextual"/>
        </w:rPr>
      </w:pPr>
      <w:r w:rsidRPr="00523C95">
        <w:rPr>
          <w:kern w:val="2"/>
          <w:lang w:val="es-AR"/>
          <w14:ligatures w14:val="standardContextual"/>
        </w:rPr>
        <w:t>El Programa de Comedores y Centros Comunitarios, establecido por la Ley N°. 6945 en el año 2022, tiene como objetivo contribuir a la seguridad alimentaria de poblaciones en situación de vulnerabilidad, como niños, niñas, adolescentes, personas con discapacidad, adultos mayores, mujeres embarazadas y comunidades indígenas. A través de los componentes de Apoyo Nutricional, Equipamiento y Fortalecimiento de organizaciones, se busca asegurar el derecho a la alimentación y fortalecer las capacidades locales.</w:t>
      </w:r>
    </w:p>
    <w:p w14:paraId="3B4E02FB" w14:textId="77777777" w:rsidR="00C75105" w:rsidRPr="00523C95" w:rsidRDefault="00C75105" w:rsidP="00C75105">
      <w:pPr>
        <w:jc w:val="both"/>
        <w:rPr>
          <w:kern w:val="2"/>
          <w:lang w:val="es-AR"/>
          <w14:ligatures w14:val="standardContextual"/>
        </w:rPr>
      </w:pPr>
      <w:r w:rsidRPr="00CE0DE7">
        <w:rPr>
          <w:kern w:val="2"/>
          <w:lang w:val="es-AR"/>
          <w14:ligatures w14:val="standardContextual"/>
        </w:rPr>
        <w:t>Durante el año 2025 se asistió a un total de 21.434 personas mediante la entrega de 43.493 servicios entregados en el presente ejercicio fiscal, esto implico la asistencia a 322 organizaciones comunitarias a nivel país, 234 en la Región Oriental y 88 en la Región Occidental. Estas acciones permitieron fortalecer 178 comedores comunitarios activos, incluyendo a 137 comunidades indígenas y 7 instituciones destinadas al cuidado de personas adultas mayores en el presente ejercicio.</w:t>
      </w:r>
    </w:p>
    <w:p w14:paraId="3AD52E53" w14:textId="77777777" w:rsidR="00C75105" w:rsidRPr="00523C95" w:rsidRDefault="00C75105" w:rsidP="00C75105">
      <w:pPr>
        <w:jc w:val="both"/>
        <w:rPr>
          <w:kern w:val="2"/>
          <w:lang w:val="es-AR"/>
          <w14:ligatures w14:val="standardContextual"/>
        </w:rPr>
      </w:pPr>
      <w:r w:rsidRPr="00523C95">
        <w:rPr>
          <w:kern w:val="2"/>
          <w:lang w:val="es-AR"/>
          <w14:ligatures w14:val="standardContextual"/>
        </w:rPr>
        <w:t>En este marco, y en cumplimiento de los estándares nacionales e internacionales en materia de derechos de los pueblos indígenas, el PROCOC desarrolló sus intervenciones conforme a lo establecido en el Convenio N°. 169 de la Organización Internacional del Trabajo (OIT) y al Protocolo para el Proceso de Consulta y Consentimiento Libre, Previo e Informado (CCLPI) con los pueblos indígenas del Paraguay, aprobado por Resolución MDS N.º 439/2018.</w:t>
      </w:r>
    </w:p>
    <w:p w14:paraId="1F5F0982" w14:textId="77777777" w:rsidR="00C75105" w:rsidRPr="00523C95" w:rsidRDefault="00C75105" w:rsidP="00C75105">
      <w:pPr>
        <w:spacing w:after="0" w:line="240" w:lineRule="auto"/>
        <w:jc w:val="both"/>
        <w:rPr>
          <w:kern w:val="2"/>
          <w:lang w:val="es-AR"/>
          <w14:ligatures w14:val="standardContextual"/>
        </w:rPr>
      </w:pPr>
      <w:r w:rsidRPr="00523C95">
        <w:rPr>
          <w:kern w:val="2"/>
          <w:lang w:val="es-AR"/>
          <w14:ligatures w14:val="standardContextual"/>
        </w:rPr>
        <w:t xml:space="preserve">Al respecto, durante el período evaluado, el Programa aplicó el procedimiento de consulta y consentimiento libre, previo e informado en un total de 74 comunidades indígenas, 48 </w:t>
      </w:r>
      <w:r w:rsidRPr="00523C95">
        <w:rPr>
          <w:kern w:val="2"/>
          <w:lang w:val="es-AR"/>
          <w14:ligatures w14:val="standardContextual"/>
        </w:rPr>
        <w:lastRenderedPageBreak/>
        <w:t>comunidades en la Región Occidental y 26 en la Oriental, garantizando la participación efectiva de las comunidades beneficiarias, el respeto a sus derechos colectivos, a sus formas de organización social y a sus procesos propios de toma de decisiones.</w:t>
      </w:r>
    </w:p>
    <w:p w14:paraId="1BFC9486" w14:textId="77777777" w:rsidR="00C75105" w:rsidRDefault="00C75105" w:rsidP="00C75105">
      <w:pPr>
        <w:spacing w:after="0" w:line="240" w:lineRule="auto"/>
        <w:jc w:val="both"/>
        <w:rPr>
          <w:kern w:val="2"/>
          <w:lang w:val="es-AR"/>
          <w14:ligatures w14:val="standardContextual"/>
        </w:rPr>
      </w:pPr>
    </w:p>
    <w:p w14:paraId="43DA996B" w14:textId="77777777" w:rsidR="00C75105" w:rsidRPr="00523C95" w:rsidRDefault="00C75105" w:rsidP="00C75105">
      <w:pPr>
        <w:spacing w:after="0" w:line="240" w:lineRule="auto"/>
        <w:jc w:val="both"/>
        <w:rPr>
          <w:kern w:val="2"/>
          <w:lang w:val="es-AR"/>
          <w14:ligatures w14:val="standardContextual"/>
        </w:rPr>
      </w:pPr>
      <w:r w:rsidRPr="00523C95">
        <w:rPr>
          <w:kern w:val="2"/>
          <w:lang w:val="es-AR"/>
          <w14:ligatures w14:val="standardContextual"/>
        </w:rPr>
        <w:t>La implementación del CCLPI contribuyó a fortalecer la pertinencia cultural de las acciones del programa, promoviendo un enfoque de derechos humanos, interculturalidad y corresponsabilidad comunitaria, en consonancia con los compromisos asumidos por el Estado paraguayo en materia de protección y promoción de los derechos de los pueblos indígenas.</w:t>
      </w:r>
    </w:p>
    <w:p w14:paraId="343C7550" w14:textId="77777777" w:rsidR="00C75105" w:rsidRDefault="00C75105" w:rsidP="00C75105">
      <w:pPr>
        <w:spacing w:after="0" w:line="240" w:lineRule="auto"/>
        <w:jc w:val="both"/>
        <w:rPr>
          <w:kern w:val="2"/>
          <w:lang w:val="es-AR"/>
          <w14:ligatures w14:val="standardContextual"/>
        </w:rPr>
      </w:pPr>
    </w:p>
    <w:p w14:paraId="0E6D56EE" w14:textId="77777777" w:rsidR="00C75105" w:rsidRPr="00523C95" w:rsidRDefault="00C75105" w:rsidP="00C75105">
      <w:pPr>
        <w:spacing w:after="0" w:line="240" w:lineRule="auto"/>
        <w:jc w:val="both"/>
        <w:rPr>
          <w:kern w:val="2"/>
          <w:lang w:val="es-AR"/>
          <w14:ligatures w14:val="standardContextual"/>
        </w:rPr>
      </w:pPr>
      <w:r w:rsidRPr="00523C95">
        <w:rPr>
          <w:kern w:val="2"/>
          <w:lang w:val="es-AR"/>
          <w14:ligatures w14:val="standardContextual"/>
        </w:rPr>
        <w:t>Asimismo, se procedió a la provisión de insumos alimenticios no perecederos y donaciones, alcanzando un total de 535.018,2 kilogramos de alimentos distribuidos, además de 57.390 kilogramos y 35.558 litros provenientes de donaciones canalizadas a través de la articulación interinstitucional.</w:t>
      </w:r>
    </w:p>
    <w:p w14:paraId="13ACAC46" w14:textId="77777777" w:rsidR="00C75105" w:rsidRDefault="00C75105" w:rsidP="00C75105">
      <w:pPr>
        <w:spacing w:after="0" w:line="240" w:lineRule="auto"/>
        <w:jc w:val="both"/>
        <w:rPr>
          <w:kern w:val="2"/>
          <w:lang w:val="es-AR"/>
          <w14:ligatures w14:val="standardContextual"/>
        </w:rPr>
      </w:pPr>
    </w:p>
    <w:p w14:paraId="6259BBAA" w14:textId="77777777" w:rsidR="00C75105" w:rsidRPr="00523C95" w:rsidRDefault="00C75105" w:rsidP="00C75105">
      <w:pPr>
        <w:spacing w:after="0" w:line="240" w:lineRule="auto"/>
        <w:jc w:val="both"/>
        <w:rPr>
          <w:kern w:val="2"/>
          <w:lang w:val="es-AR"/>
          <w14:ligatures w14:val="standardContextual"/>
        </w:rPr>
      </w:pPr>
      <w:r w:rsidRPr="00523C95">
        <w:rPr>
          <w:kern w:val="2"/>
          <w:lang w:val="es-AR"/>
          <w14:ligatures w14:val="standardContextual"/>
        </w:rPr>
        <w:t>En cuanto al fortalecimiento institucional, se destacó la entrega de equipamientos a 178 organizaciones beneficiadas, consistentes en (105) ciento cinco planchas fogón, (93) noventa y tres heladeras, y (93) noventa y tres Frezzers, destinados a los comedores de los beneficiarios, contribuyendo a mejorar las condiciones de conservación, preparación y seguridad alimentaria, lo que impactó positivamente en la sostenibilidad de los comedores comunitarios.</w:t>
      </w:r>
    </w:p>
    <w:p w14:paraId="386A36E2" w14:textId="77777777" w:rsidR="00523C95" w:rsidRPr="00523C95" w:rsidRDefault="00523C95" w:rsidP="008D1035">
      <w:pPr>
        <w:spacing w:after="0" w:line="240" w:lineRule="auto"/>
        <w:rPr>
          <w:color w:val="FF0000"/>
          <w:kern w:val="2"/>
          <w:lang w:val="es-AR"/>
          <w14:ligatures w14:val="standardContextual"/>
        </w:rPr>
      </w:pPr>
    </w:p>
    <w:p w14:paraId="5DC84C93" w14:textId="016B5D68" w:rsidR="00523C95" w:rsidRPr="00523C95" w:rsidRDefault="00523C95" w:rsidP="008D1035">
      <w:pPr>
        <w:spacing w:after="0" w:line="240" w:lineRule="auto"/>
        <w:jc w:val="both"/>
        <w:rPr>
          <w:b/>
          <w:bCs/>
          <w:kern w:val="2"/>
          <w:lang w:val="es-AR"/>
          <w14:ligatures w14:val="standardContextual"/>
        </w:rPr>
      </w:pPr>
      <w:r w:rsidRPr="00523C95">
        <w:rPr>
          <w:b/>
          <w:bCs/>
          <w:kern w:val="2"/>
          <w:lang w:val="es-AR"/>
          <w14:ligatures w14:val="standardContextual"/>
        </w:rPr>
        <w:t xml:space="preserve">PROGRAMA </w:t>
      </w:r>
      <w:r w:rsidR="00CE0DE7">
        <w:rPr>
          <w:b/>
          <w:bCs/>
          <w:kern w:val="2"/>
          <w:lang w:val="es-AR"/>
          <w14:ligatures w14:val="standardContextual"/>
        </w:rPr>
        <w:t xml:space="preserve">DE </w:t>
      </w:r>
      <w:r w:rsidRPr="00523C95">
        <w:rPr>
          <w:b/>
          <w:bCs/>
          <w:kern w:val="2"/>
          <w:lang w:val="es-AR"/>
          <w14:ligatures w14:val="standardContextual"/>
        </w:rPr>
        <w:t xml:space="preserve">PENSION </w:t>
      </w:r>
      <w:r w:rsidR="004163A7">
        <w:rPr>
          <w:b/>
          <w:bCs/>
          <w:kern w:val="2"/>
          <w:lang w:val="es-AR"/>
          <w14:ligatures w14:val="standardContextual"/>
        </w:rPr>
        <w:t xml:space="preserve">UNIVERSAL PARA </w:t>
      </w:r>
      <w:r w:rsidRPr="00523C95">
        <w:rPr>
          <w:b/>
          <w:bCs/>
          <w:kern w:val="2"/>
          <w:lang w:val="es-AR"/>
          <w14:ligatures w14:val="standardContextual"/>
        </w:rPr>
        <w:t>ADULTOS MAYORES</w:t>
      </w:r>
      <w:r w:rsidRPr="00523C95">
        <w:rPr>
          <w:b/>
          <w:bCs/>
          <w:kern w:val="2"/>
          <w:vertAlign w:val="superscript"/>
          <w:lang w:val="es-AR"/>
          <w14:ligatures w14:val="standardContextual"/>
        </w:rPr>
        <w:footnoteReference w:id="6"/>
      </w:r>
    </w:p>
    <w:p w14:paraId="1FF82F7F" w14:textId="77777777" w:rsidR="008D1035" w:rsidRDefault="008D1035" w:rsidP="008D1035">
      <w:pPr>
        <w:spacing w:after="0" w:line="240" w:lineRule="auto"/>
        <w:jc w:val="both"/>
        <w:rPr>
          <w:kern w:val="2"/>
          <w:lang w:val="es-AR"/>
          <w14:ligatures w14:val="standardContextual"/>
        </w:rPr>
      </w:pPr>
    </w:p>
    <w:p w14:paraId="0A18052C" w14:textId="3DBF0945" w:rsidR="00CE0DE7" w:rsidRPr="00CE0DE7" w:rsidRDefault="00CE0DE7" w:rsidP="00CE0DE7">
      <w:pPr>
        <w:jc w:val="both"/>
      </w:pPr>
      <w:r>
        <w:t xml:space="preserve">El Programa de Pensión Universal para Adultos Mayores, establecido mediante la Ley N.º 7322/2024 y reglamentado por el Decreto N.º 3139/2024, tiene por objeto establecer una pensión universal para las personas adultas mayores y disponer otros beneficios sociales que contribuyan a su inclusión y a mejorar su calidad de vida. Este programa, implementado por el Ministerio de Desarrollo Social, proporciona una pensión mensual destinada a cubrir necesidades básicas de las personas adultas mayores que cumplan los requisitos previstos </w:t>
      </w:r>
      <w:r w:rsidRPr="00CE0DE7">
        <w:t xml:space="preserve">en la normativa. </w:t>
      </w:r>
    </w:p>
    <w:p w14:paraId="64D37621" w14:textId="1F67B691" w:rsidR="00CE0DE7" w:rsidRPr="00017C6A" w:rsidRDefault="003C23B4" w:rsidP="00CE0DE7">
      <w:pPr>
        <w:jc w:val="both"/>
      </w:pPr>
      <w:r>
        <w:t>El programa ha experimentado un proceso de consolidación y expansión, eliminando el censo como requisito para acceder al beneficio y simplificando los procesos de inscripción. Los nuevos criterios de elegibilidad priorizan a quienes no cuentan con otras fuentes de ingreso, asegurando un enfoque más inclusivo y equitativo.</w:t>
      </w:r>
      <w:r w:rsidR="00CE0DE7" w:rsidRPr="00CE0DE7">
        <w:t xml:space="preserve"> </w:t>
      </w:r>
      <w:r w:rsidR="00CE0DE7" w:rsidRPr="00017C6A">
        <w:t>La incorporación de beneficiarios se realiza gradualmente de acuerdo a la disponibilidad presupuestaria, aplicando el criterio de edad.</w:t>
      </w:r>
    </w:p>
    <w:p w14:paraId="3282FB40" w14:textId="28F571CB" w:rsidR="008D1035" w:rsidRDefault="003C23B4" w:rsidP="00523C95">
      <w:pPr>
        <w:jc w:val="both"/>
        <w:rPr>
          <w:b/>
          <w:bCs/>
          <w:kern w:val="2"/>
          <w:lang w:val="es-AR"/>
          <w14:ligatures w14:val="standardContextual"/>
        </w:rPr>
      </w:pPr>
      <w:r>
        <w:t>En el ejercicio fiscal 2025 se incluyeron 74.458 nuevos participantes, alcanzando un total de 340.203 participantes, implementando el sistema de verificaciones In situ alcanzado un total de 3.052 verificaciones con un</w:t>
      </w:r>
      <w:r w:rsidR="0077351C">
        <w:t>a ejecución presupuestaria del 99</w:t>
      </w:r>
      <w:r>
        <w:t>%.</w:t>
      </w:r>
    </w:p>
    <w:p w14:paraId="334A697A" w14:textId="1C5636DA" w:rsidR="00523C95" w:rsidRDefault="00523C95" w:rsidP="00523C95">
      <w:pPr>
        <w:jc w:val="both"/>
        <w:rPr>
          <w:b/>
          <w:bCs/>
          <w:kern w:val="2"/>
          <w:lang w:val="es-AR"/>
          <w14:ligatures w14:val="standardContextual"/>
        </w:rPr>
      </w:pPr>
      <w:r w:rsidRPr="00523C95">
        <w:rPr>
          <w:b/>
          <w:bCs/>
          <w:kern w:val="2"/>
          <w:lang w:val="es-AR"/>
          <w14:ligatures w14:val="standardContextual"/>
        </w:rPr>
        <w:t>PROGRAMA HAMBRE CERO EN LAS ESCUELAS (MDS EJECUTOR)</w:t>
      </w:r>
      <w:r w:rsidR="004E4796" w:rsidRPr="004E4796">
        <w:rPr>
          <w:b/>
          <w:bCs/>
          <w:kern w:val="2"/>
          <w:vertAlign w:val="superscript"/>
          <w:lang w:val="es-AR"/>
          <w14:ligatures w14:val="standardContextual"/>
        </w:rPr>
        <w:t xml:space="preserve"> </w:t>
      </w:r>
      <w:r w:rsidR="004E4796" w:rsidRPr="00523C95">
        <w:rPr>
          <w:b/>
          <w:bCs/>
          <w:kern w:val="2"/>
          <w:vertAlign w:val="superscript"/>
          <w:lang w:val="es-AR"/>
          <w14:ligatures w14:val="standardContextual"/>
        </w:rPr>
        <w:footnoteReference w:id="7"/>
      </w:r>
    </w:p>
    <w:p w14:paraId="3BAE08BA" w14:textId="77777777" w:rsidR="00943140" w:rsidRPr="00CE0DE7" w:rsidRDefault="00943140" w:rsidP="00943140">
      <w:pPr>
        <w:jc w:val="both"/>
        <w:rPr>
          <w:bCs/>
          <w:kern w:val="2"/>
          <w:lang w:val="es-AR"/>
          <w14:ligatures w14:val="standardContextual"/>
        </w:rPr>
      </w:pPr>
      <w:r w:rsidRPr="00CE0DE7">
        <w:rPr>
          <w:bCs/>
          <w:kern w:val="2"/>
          <w:lang w:val="es-AR"/>
          <w14:ligatures w14:val="standardContextual"/>
        </w:rPr>
        <w:t>En el presente año, el Programa de Alimentación Escolar “Hambre Cero en las Escuelas y Sistema Educativo”, cuyo objetivo principal radica en el acceso a alimentación variada y de calidad, impactando sustancialmente los índices de seguridad alimentaria y nutrición, logro la cobertura del 100% en alimentación escolar desde el nivel inicial extendiendo progresivamente a hasta la Educación Media.</w:t>
      </w:r>
    </w:p>
    <w:p w14:paraId="1E91907A" w14:textId="6791AFE3" w:rsidR="00943140" w:rsidRPr="00CE0DE7" w:rsidRDefault="00943140" w:rsidP="00943140">
      <w:pPr>
        <w:jc w:val="both"/>
        <w:rPr>
          <w:bCs/>
          <w:kern w:val="2"/>
          <w:lang w:val="es-AR"/>
          <w14:ligatures w14:val="standardContextual"/>
        </w:rPr>
      </w:pPr>
      <w:r w:rsidRPr="00CE0DE7">
        <w:rPr>
          <w:bCs/>
          <w:kern w:val="2"/>
          <w:lang w:val="es-AR"/>
          <w14:ligatures w14:val="standardContextual"/>
        </w:rPr>
        <w:lastRenderedPageBreak/>
        <w:t>Este año se inició la provisión de los servicios a los alumnos del distrito de Asunción, el cual tiene cobertura desde el nivel Inicial y Escolar Básica, así como del Nivel Medio (científico y técnico), alcanzando a 45.126 beneficiados en 225 Instituciones Educativas.</w:t>
      </w:r>
    </w:p>
    <w:p w14:paraId="5160680B" w14:textId="77777777" w:rsidR="00943140" w:rsidRPr="00CE0DE7" w:rsidRDefault="00943140" w:rsidP="00943140">
      <w:pPr>
        <w:jc w:val="both"/>
        <w:rPr>
          <w:bCs/>
          <w:kern w:val="2"/>
          <w:lang w:val="es-AR"/>
          <w14:ligatures w14:val="standardContextual"/>
        </w:rPr>
      </w:pPr>
      <w:r w:rsidRPr="00CE0DE7">
        <w:rPr>
          <w:bCs/>
          <w:kern w:val="2"/>
          <w:lang w:val="es-AR"/>
          <w14:ligatures w14:val="standardContextual"/>
        </w:rPr>
        <w:t>En el 1er semestre, se ha dado inicio a uso obligatorio del Sistema Integrado de Alimentación Escolar (SIAE) como parte del programa «Hambre Cero» a partir de las bases de datos existentes en las instituciones involucradas, para una plataforma que permita generar datos para el control por plato de comida entregado.</w:t>
      </w:r>
    </w:p>
    <w:p w14:paraId="7A845206" w14:textId="77777777" w:rsidR="00943140" w:rsidRPr="00CE0DE7" w:rsidRDefault="00943140" w:rsidP="00943140">
      <w:pPr>
        <w:jc w:val="both"/>
        <w:rPr>
          <w:bCs/>
          <w:kern w:val="2"/>
          <w:lang w:val="es-AR"/>
          <w14:ligatures w14:val="standardContextual"/>
        </w:rPr>
      </w:pPr>
      <w:r w:rsidRPr="00CE0DE7">
        <w:rPr>
          <w:bCs/>
          <w:kern w:val="2"/>
          <w:lang w:val="es-AR"/>
          <w14:ligatures w14:val="standardContextual"/>
        </w:rPr>
        <w:t>En la segunda quincena del mes de marzo, se ha oficializado el inicio del uso obligatorio del Sistema Integrado de Alimentación Escolar (SIAE), en el marco del programa «Hambre Cero». Esta implementación se ha llevado a cabo utilizando las bases de datos previamente existentes en las instituciones educativas involucradas, con el objetivo de consolidar una plataforma digital eficiente que permita la gestión, el seguimiento y el control preciso de la entrega de alimentos.</w:t>
      </w:r>
    </w:p>
    <w:p w14:paraId="414B9CD3" w14:textId="77777777" w:rsidR="00943140" w:rsidRPr="00CE0DE7" w:rsidRDefault="00943140" w:rsidP="00943140">
      <w:pPr>
        <w:jc w:val="both"/>
        <w:rPr>
          <w:bCs/>
          <w:kern w:val="2"/>
          <w:lang w:val="es-AR"/>
          <w14:ligatures w14:val="standardContextual"/>
        </w:rPr>
      </w:pPr>
      <w:r w:rsidRPr="00CE0DE7">
        <w:rPr>
          <w:bCs/>
          <w:kern w:val="2"/>
          <w:lang w:val="es-AR"/>
          <w14:ligatures w14:val="standardContextual"/>
        </w:rPr>
        <w:t>El SIAE facilitó la generación de datos estructurados y verificables, orientados al control individualizado por cada plato de comida distribuido a los estudiantes. Con esta medida se busca fortalecer la transparencia en el uso de recursos, optimizar los procesos administrativos y garantizar la correcta implementación del programa de alimentación escolar en todo el sistema educativo.</w:t>
      </w:r>
    </w:p>
    <w:p w14:paraId="0CCC332E" w14:textId="77777777" w:rsidR="00943140" w:rsidRPr="00CE0DE7" w:rsidRDefault="00943140" w:rsidP="00943140">
      <w:pPr>
        <w:jc w:val="both"/>
        <w:rPr>
          <w:bCs/>
          <w:kern w:val="2"/>
          <w:lang w:val="es-AR"/>
          <w14:ligatures w14:val="standardContextual"/>
        </w:rPr>
      </w:pPr>
      <w:r w:rsidRPr="00CE0DE7">
        <w:rPr>
          <w:bCs/>
          <w:kern w:val="2"/>
          <w:lang w:val="es-AR"/>
          <w14:ligatures w14:val="standardContextual"/>
        </w:rPr>
        <w:t>Otros logros alcanzados fueron, la emisión de órdenes de servicios a través del sistema SIAE, disminuyendo los grandes volúmenes de documentaciones en forma física y digitalizando todo el proceso de cierre, se optimizaron los recursos y se logró ampliar gradualmente la cobertura de los servicios a partir del mes de septiembre/2025 al nivel medio de las instituciones educativas que no recibían alimentación escolar en los distritos no priorizados, beneficiando en el primer mes a 12.000 nuevos estudiantes, hasta llegar a 22.500 alumnos en la segunda etapa.</w:t>
      </w:r>
    </w:p>
    <w:p w14:paraId="24DF63D4" w14:textId="36F94C60" w:rsidR="00F46A48" w:rsidRPr="00523C95" w:rsidRDefault="00943140" w:rsidP="00943140">
      <w:pPr>
        <w:jc w:val="both"/>
      </w:pPr>
      <w:r w:rsidRPr="00CE0DE7">
        <w:rPr>
          <w:bCs/>
          <w:kern w:val="2"/>
          <w:lang w:val="es-AR"/>
          <w14:ligatures w14:val="standardContextual"/>
        </w:rPr>
        <w:t>Se ha planificado la provisión de los servicios de alimentación escolar (desayuno, almuerzo, merienda y colación) para 308.295 estudiantes, de 1.256 instituciones educativas del Departamento Central, Presidente Hayes y Capital, equivalente aproximadamente a 106.348.358 raciones, desde febrero hasta noviembre de 2025.</w:t>
      </w:r>
    </w:p>
    <w:sectPr w:rsidR="00F46A48" w:rsidRPr="00523C95" w:rsidSect="00D31C5E">
      <w:headerReference w:type="default" r:id="rId8"/>
      <w:footerReference w:type="default" r:id="rId9"/>
      <w:pgSz w:w="11906" w:h="16838" w:code="9"/>
      <w:pgMar w:top="1560"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03882" w16cex:dateUtc="2026-01-14T19:29:00Z"/>
  <w16cex:commentExtensible w16cex:durableId="4A80CA0B" w16cex:dateUtc="2026-01-1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FFA721" w16cid:durableId="1D203882"/>
  <w16cid:commentId w16cid:paraId="61E2B963" w16cid:durableId="4A80CA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9591C" w14:textId="77777777" w:rsidR="00065DA9" w:rsidRDefault="00065DA9">
      <w:pPr>
        <w:spacing w:after="0" w:line="240" w:lineRule="auto"/>
      </w:pPr>
      <w:r>
        <w:separator/>
      </w:r>
    </w:p>
  </w:endnote>
  <w:endnote w:type="continuationSeparator" w:id="0">
    <w:p w14:paraId="5487578C" w14:textId="77777777" w:rsidR="00065DA9" w:rsidRDefault="0006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78B1" w14:textId="77777777" w:rsidR="009C6A7A" w:rsidRDefault="009C6A7A">
    <w:pPr>
      <w:pStyle w:val="Piedepgina"/>
    </w:pPr>
    <w:r>
      <w:rPr>
        <w:noProof/>
        <w:lang w:val="es-PY" w:eastAsia="es-PY"/>
      </w:rPr>
      <mc:AlternateContent>
        <mc:Choice Requires="wps">
          <w:drawing>
            <wp:anchor distT="0" distB="0" distL="114300" distR="114300" simplePos="0" relativeHeight="251662336" behindDoc="0" locked="0" layoutInCell="1" allowOverlap="1" wp14:anchorId="05308965" wp14:editId="3213A702">
              <wp:simplePos x="0" y="0"/>
              <wp:positionH relativeFrom="margin">
                <wp:align>center</wp:align>
              </wp:positionH>
              <wp:positionV relativeFrom="paragraph">
                <wp:posOffset>253365</wp:posOffset>
              </wp:positionV>
              <wp:extent cx="7400925" cy="0"/>
              <wp:effectExtent l="0" t="0" r="0" b="0"/>
              <wp:wrapNone/>
              <wp:docPr id="2115621437" name="Conector recto 3"/>
              <wp:cNvGraphicFramePr/>
              <a:graphic xmlns:a="http://schemas.openxmlformats.org/drawingml/2006/main">
                <a:graphicData uri="http://schemas.microsoft.com/office/word/2010/wordprocessingShape">
                  <wps:wsp>
                    <wps:cNvCnPr/>
                    <wps:spPr>
                      <a:xfrm>
                        <a:off x="0" y="0"/>
                        <a:ext cx="7400925"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E92A54" id="Conector recto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9.95pt" to="582.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" strokecolor="#002060" strokeweight="1.5pt">
              <v:stroke joinstyle="miter"/>
              <w10:wrap anchorx="margin"/>
            </v:line>
          </w:pict>
        </mc:Fallback>
      </mc:AlternateContent>
    </w:r>
    <w:r>
      <w:rPr>
        <w:noProof/>
        <w:lang w:val="es-PY" w:eastAsia="es-PY"/>
      </w:rPr>
      <w:drawing>
        <wp:anchor distT="0" distB="0" distL="114300" distR="114300" simplePos="0" relativeHeight="251661312" behindDoc="1" locked="0" layoutInCell="1" allowOverlap="1" wp14:anchorId="36FABDDC" wp14:editId="4C527B5C">
          <wp:simplePos x="0" y="0"/>
          <wp:positionH relativeFrom="column">
            <wp:posOffset>1843405</wp:posOffset>
          </wp:positionH>
          <wp:positionV relativeFrom="paragraph">
            <wp:posOffset>-108585</wp:posOffset>
          </wp:positionV>
          <wp:extent cx="1981200" cy="266700"/>
          <wp:effectExtent l="0" t="0" r="0" b="0"/>
          <wp:wrapNone/>
          <wp:docPr id="421874489" name="Imagen 42187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266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1E1D8" w14:textId="77777777" w:rsidR="00065DA9" w:rsidRDefault="00065DA9">
      <w:pPr>
        <w:spacing w:after="0" w:line="240" w:lineRule="auto"/>
      </w:pPr>
      <w:r>
        <w:separator/>
      </w:r>
    </w:p>
  </w:footnote>
  <w:footnote w:type="continuationSeparator" w:id="0">
    <w:p w14:paraId="77E159A6" w14:textId="77777777" w:rsidR="00065DA9" w:rsidRDefault="00065DA9">
      <w:pPr>
        <w:spacing w:after="0" w:line="240" w:lineRule="auto"/>
      </w:pPr>
      <w:r>
        <w:continuationSeparator/>
      </w:r>
    </w:p>
  </w:footnote>
  <w:footnote w:id="1">
    <w:p w14:paraId="1BF8F444" w14:textId="77777777" w:rsidR="00523C95" w:rsidRPr="006E72B8" w:rsidRDefault="00523C95" w:rsidP="00523C95">
      <w:pPr>
        <w:pStyle w:val="Textonotapie"/>
        <w:rPr>
          <w:lang w:val="es-MX"/>
        </w:rPr>
      </w:pPr>
      <w:r>
        <w:rPr>
          <w:rStyle w:val="Refdenotaalpie"/>
        </w:rPr>
        <w:footnoteRef/>
      </w:r>
      <w:r>
        <w:t xml:space="preserve"> </w:t>
      </w:r>
      <w:r w:rsidRPr="008340A0">
        <w:rPr>
          <w:sz w:val="16"/>
          <w:szCs w:val="16"/>
        </w:rPr>
        <w:t xml:space="preserve">Fuente: MDS. Dirección TEKOPORA, correo </w:t>
      </w:r>
      <w:r>
        <w:rPr>
          <w:sz w:val="16"/>
          <w:szCs w:val="16"/>
        </w:rPr>
        <w:t>06</w:t>
      </w:r>
      <w:r w:rsidRPr="008340A0">
        <w:rPr>
          <w:sz w:val="16"/>
          <w:szCs w:val="16"/>
        </w:rPr>
        <w:t>/</w:t>
      </w:r>
      <w:r>
        <w:rPr>
          <w:sz w:val="16"/>
          <w:szCs w:val="16"/>
        </w:rPr>
        <w:t>01</w:t>
      </w:r>
      <w:r w:rsidRPr="008340A0">
        <w:rPr>
          <w:sz w:val="16"/>
          <w:szCs w:val="16"/>
        </w:rPr>
        <w:t>/2025.</w:t>
      </w:r>
    </w:p>
  </w:footnote>
  <w:footnote w:id="2">
    <w:p w14:paraId="38BF8BED" w14:textId="77777777" w:rsidR="00523C95" w:rsidRPr="006E72B8" w:rsidRDefault="00523C95" w:rsidP="00523C95">
      <w:pPr>
        <w:pStyle w:val="Textonotapie"/>
        <w:rPr>
          <w:lang w:val="es-MX"/>
        </w:rPr>
      </w:pPr>
      <w:r>
        <w:rPr>
          <w:rStyle w:val="Refdenotaalpie"/>
        </w:rPr>
        <w:footnoteRef/>
      </w:r>
      <w:r>
        <w:t xml:space="preserve"> </w:t>
      </w:r>
      <w:r w:rsidRPr="008340A0">
        <w:rPr>
          <w:sz w:val="16"/>
          <w:szCs w:val="16"/>
        </w:rPr>
        <w:t>Fuente: MDS. Dirección TE</w:t>
      </w:r>
      <w:r>
        <w:rPr>
          <w:sz w:val="16"/>
          <w:szCs w:val="16"/>
        </w:rPr>
        <w:t>NONDERA</w:t>
      </w:r>
      <w:r w:rsidRPr="008340A0">
        <w:rPr>
          <w:sz w:val="16"/>
          <w:szCs w:val="16"/>
        </w:rPr>
        <w:t>, correo 0</w:t>
      </w:r>
      <w:r>
        <w:rPr>
          <w:sz w:val="16"/>
          <w:szCs w:val="16"/>
        </w:rPr>
        <w:t>8</w:t>
      </w:r>
      <w:r w:rsidRPr="008340A0">
        <w:rPr>
          <w:sz w:val="16"/>
          <w:szCs w:val="16"/>
        </w:rPr>
        <w:t>/</w:t>
      </w:r>
      <w:r>
        <w:rPr>
          <w:sz w:val="16"/>
          <w:szCs w:val="16"/>
        </w:rPr>
        <w:t>01</w:t>
      </w:r>
      <w:r w:rsidRPr="008340A0">
        <w:rPr>
          <w:sz w:val="16"/>
          <w:szCs w:val="16"/>
        </w:rPr>
        <w:t>/202</w:t>
      </w:r>
      <w:r>
        <w:rPr>
          <w:sz w:val="16"/>
          <w:szCs w:val="16"/>
        </w:rPr>
        <w:t>6</w:t>
      </w:r>
      <w:r w:rsidRPr="008340A0">
        <w:rPr>
          <w:sz w:val="16"/>
          <w:szCs w:val="16"/>
        </w:rPr>
        <w:t>.</w:t>
      </w:r>
    </w:p>
  </w:footnote>
  <w:footnote w:id="3">
    <w:p w14:paraId="2767D7EB" w14:textId="77777777" w:rsidR="00523C95" w:rsidRPr="006E72B8" w:rsidRDefault="00523C95" w:rsidP="00523C95">
      <w:pPr>
        <w:pStyle w:val="Textonotapie"/>
        <w:rPr>
          <w:lang w:val="es-MX"/>
        </w:rPr>
      </w:pPr>
      <w:r>
        <w:rPr>
          <w:rStyle w:val="Refdenotaalpie"/>
        </w:rPr>
        <w:footnoteRef/>
      </w:r>
      <w:r>
        <w:t xml:space="preserve"> </w:t>
      </w:r>
      <w:r w:rsidRPr="008340A0">
        <w:rPr>
          <w:sz w:val="16"/>
          <w:szCs w:val="16"/>
        </w:rPr>
        <w:t>Fuente: MDS. Dirección TE</w:t>
      </w:r>
      <w:r>
        <w:rPr>
          <w:sz w:val="16"/>
          <w:szCs w:val="16"/>
        </w:rPr>
        <w:t>KOHA</w:t>
      </w:r>
      <w:r w:rsidRPr="008340A0">
        <w:rPr>
          <w:sz w:val="16"/>
          <w:szCs w:val="16"/>
        </w:rPr>
        <w:t>, correo 0</w:t>
      </w:r>
      <w:r>
        <w:rPr>
          <w:sz w:val="16"/>
          <w:szCs w:val="16"/>
        </w:rPr>
        <w:t>7</w:t>
      </w:r>
      <w:r w:rsidRPr="008340A0">
        <w:rPr>
          <w:sz w:val="16"/>
          <w:szCs w:val="16"/>
        </w:rPr>
        <w:t>/</w:t>
      </w:r>
      <w:r>
        <w:rPr>
          <w:sz w:val="16"/>
          <w:szCs w:val="16"/>
        </w:rPr>
        <w:t>01</w:t>
      </w:r>
      <w:r w:rsidRPr="008340A0">
        <w:rPr>
          <w:sz w:val="16"/>
          <w:szCs w:val="16"/>
        </w:rPr>
        <w:t>/202</w:t>
      </w:r>
      <w:r>
        <w:rPr>
          <w:sz w:val="16"/>
          <w:szCs w:val="16"/>
        </w:rPr>
        <w:t>6</w:t>
      </w:r>
      <w:r w:rsidRPr="008340A0">
        <w:rPr>
          <w:sz w:val="16"/>
          <w:szCs w:val="16"/>
        </w:rPr>
        <w:t>.</w:t>
      </w:r>
    </w:p>
  </w:footnote>
  <w:footnote w:id="4">
    <w:p w14:paraId="55D31D86" w14:textId="77777777" w:rsidR="00523C95" w:rsidRPr="006E72B8" w:rsidRDefault="00523C95" w:rsidP="00523C95">
      <w:pPr>
        <w:pStyle w:val="Textonotapie"/>
        <w:rPr>
          <w:lang w:val="es-MX"/>
        </w:rPr>
      </w:pPr>
      <w:r>
        <w:rPr>
          <w:rStyle w:val="Refdenotaalpie"/>
        </w:rPr>
        <w:footnoteRef/>
      </w:r>
      <w:r>
        <w:t xml:space="preserve"> </w:t>
      </w:r>
      <w:r w:rsidRPr="008340A0">
        <w:rPr>
          <w:sz w:val="16"/>
          <w:szCs w:val="16"/>
        </w:rPr>
        <w:t xml:space="preserve">Fuente: MDS. Dirección </w:t>
      </w:r>
      <w:r>
        <w:rPr>
          <w:sz w:val="16"/>
          <w:szCs w:val="16"/>
        </w:rPr>
        <w:t>Asistencia a Pescadores</w:t>
      </w:r>
      <w:r w:rsidRPr="008340A0">
        <w:rPr>
          <w:sz w:val="16"/>
          <w:szCs w:val="16"/>
        </w:rPr>
        <w:t>, correo 0</w:t>
      </w:r>
      <w:r>
        <w:rPr>
          <w:sz w:val="16"/>
          <w:szCs w:val="16"/>
        </w:rPr>
        <w:t>8</w:t>
      </w:r>
      <w:r w:rsidRPr="008340A0">
        <w:rPr>
          <w:sz w:val="16"/>
          <w:szCs w:val="16"/>
        </w:rPr>
        <w:t>/</w:t>
      </w:r>
      <w:r>
        <w:rPr>
          <w:sz w:val="16"/>
          <w:szCs w:val="16"/>
        </w:rPr>
        <w:t>01</w:t>
      </w:r>
      <w:r w:rsidRPr="008340A0">
        <w:rPr>
          <w:sz w:val="16"/>
          <w:szCs w:val="16"/>
        </w:rPr>
        <w:t>/202</w:t>
      </w:r>
      <w:r>
        <w:rPr>
          <w:sz w:val="16"/>
          <w:szCs w:val="16"/>
        </w:rPr>
        <w:t>6</w:t>
      </w:r>
      <w:r w:rsidRPr="008340A0">
        <w:rPr>
          <w:sz w:val="16"/>
          <w:szCs w:val="16"/>
        </w:rPr>
        <w:t>.</w:t>
      </w:r>
    </w:p>
  </w:footnote>
  <w:footnote w:id="5">
    <w:p w14:paraId="1F207EA4" w14:textId="77777777" w:rsidR="00523C95" w:rsidRPr="006E72B8" w:rsidRDefault="00523C95" w:rsidP="00523C95">
      <w:pPr>
        <w:pStyle w:val="Textonotapie"/>
        <w:rPr>
          <w:lang w:val="es-MX"/>
        </w:rPr>
      </w:pPr>
      <w:r>
        <w:rPr>
          <w:rStyle w:val="Refdenotaalpie"/>
        </w:rPr>
        <w:footnoteRef/>
      </w:r>
      <w:r>
        <w:t xml:space="preserve"> </w:t>
      </w:r>
      <w:r w:rsidRPr="00A810D8">
        <w:rPr>
          <w:sz w:val="16"/>
          <w:szCs w:val="16"/>
        </w:rPr>
        <w:t>MDS. Dirección Comedores Comunitarios, correo 0</w:t>
      </w:r>
      <w:r>
        <w:rPr>
          <w:sz w:val="16"/>
          <w:szCs w:val="16"/>
        </w:rPr>
        <w:t>7</w:t>
      </w:r>
      <w:r w:rsidRPr="00A810D8">
        <w:rPr>
          <w:sz w:val="16"/>
          <w:szCs w:val="16"/>
        </w:rPr>
        <w:t>/</w:t>
      </w:r>
      <w:r>
        <w:rPr>
          <w:sz w:val="16"/>
          <w:szCs w:val="16"/>
        </w:rPr>
        <w:t>0</w:t>
      </w:r>
      <w:r w:rsidRPr="00A810D8">
        <w:rPr>
          <w:sz w:val="16"/>
          <w:szCs w:val="16"/>
        </w:rPr>
        <w:t>1/202</w:t>
      </w:r>
      <w:r>
        <w:rPr>
          <w:sz w:val="16"/>
          <w:szCs w:val="16"/>
        </w:rPr>
        <w:t>6</w:t>
      </w:r>
      <w:r w:rsidRPr="00A810D8">
        <w:rPr>
          <w:sz w:val="16"/>
          <w:szCs w:val="16"/>
        </w:rPr>
        <w:t>.</w:t>
      </w:r>
    </w:p>
  </w:footnote>
  <w:footnote w:id="6">
    <w:p w14:paraId="3CA70EB4" w14:textId="45780753" w:rsidR="00523C95" w:rsidRPr="006E72B8" w:rsidRDefault="00523C95" w:rsidP="00523C95">
      <w:pPr>
        <w:pStyle w:val="Textonotapie"/>
        <w:rPr>
          <w:lang w:val="es-MX"/>
        </w:rPr>
      </w:pPr>
      <w:r>
        <w:rPr>
          <w:rStyle w:val="Refdenotaalpie"/>
        </w:rPr>
        <w:footnoteRef/>
      </w:r>
      <w:r>
        <w:t xml:space="preserve"> </w:t>
      </w:r>
      <w:r w:rsidRPr="008340A0">
        <w:rPr>
          <w:sz w:val="16"/>
          <w:szCs w:val="16"/>
        </w:rPr>
        <w:t xml:space="preserve">Fuente: MDS. Dirección del Programa de Pensión Alimentaria para Adultos Mayores, correo </w:t>
      </w:r>
      <w:r w:rsidR="003C23B4">
        <w:rPr>
          <w:sz w:val="16"/>
          <w:szCs w:val="16"/>
        </w:rPr>
        <w:t>12</w:t>
      </w:r>
      <w:r w:rsidRPr="008340A0">
        <w:rPr>
          <w:sz w:val="16"/>
          <w:szCs w:val="16"/>
        </w:rPr>
        <w:t>/</w:t>
      </w:r>
      <w:r>
        <w:rPr>
          <w:sz w:val="16"/>
          <w:szCs w:val="16"/>
        </w:rPr>
        <w:t>0</w:t>
      </w:r>
      <w:r w:rsidRPr="008340A0">
        <w:rPr>
          <w:sz w:val="16"/>
          <w:szCs w:val="16"/>
        </w:rPr>
        <w:t>1/202</w:t>
      </w:r>
      <w:r>
        <w:rPr>
          <w:sz w:val="16"/>
          <w:szCs w:val="16"/>
        </w:rPr>
        <w:t>6</w:t>
      </w:r>
      <w:r w:rsidRPr="008340A0">
        <w:rPr>
          <w:sz w:val="16"/>
          <w:szCs w:val="16"/>
        </w:rPr>
        <w:t>.</w:t>
      </w:r>
    </w:p>
  </w:footnote>
  <w:footnote w:id="7">
    <w:p w14:paraId="33D9D121" w14:textId="285B9A9F" w:rsidR="004E4796" w:rsidRPr="006E72B8" w:rsidRDefault="004E4796" w:rsidP="004E4796">
      <w:pPr>
        <w:pStyle w:val="Textonotapie"/>
        <w:rPr>
          <w:lang w:val="es-MX"/>
        </w:rPr>
      </w:pPr>
      <w:r>
        <w:rPr>
          <w:rStyle w:val="Refdenotaalpie"/>
        </w:rPr>
        <w:footnoteRef/>
      </w:r>
      <w:r>
        <w:t xml:space="preserve"> </w:t>
      </w:r>
      <w:r w:rsidRPr="008340A0">
        <w:rPr>
          <w:sz w:val="16"/>
          <w:szCs w:val="16"/>
        </w:rPr>
        <w:t xml:space="preserve">Fuente: MDS. </w:t>
      </w:r>
      <w:r>
        <w:rPr>
          <w:sz w:val="16"/>
          <w:szCs w:val="16"/>
        </w:rPr>
        <w:t>Departamento de Gestión Operativa y Administrativa de Alimentación Escolar</w:t>
      </w:r>
      <w:r w:rsidRPr="008340A0">
        <w:rPr>
          <w:sz w:val="16"/>
          <w:szCs w:val="16"/>
        </w:rPr>
        <w:t xml:space="preserve">, correo </w:t>
      </w:r>
      <w:r>
        <w:rPr>
          <w:sz w:val="16"/>
          <w:szCs w:val="16"/>
        </w:rPr>
        <w:t>12/01/2026.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C380" w14:textId="77777777" w:rsidR="009C6A7A" w:rsidRDefault="009C6A7A">
    <w:pPr>
      <w:pStyle w:val="Encabezado"/>
    </w:pPr>
    <w:r>
      <w:rPr>
        <w:noProof/>
        <w:lang w:val="es-PY" w:eastAsia="es-PY"/>
      </w:rPr>
      <w:drawing>
        <wp:anchor distT="0" distB="0" distL="114300" distR="114300" simplePos="0" relativeHeight="251659264" behindDoc="1" locked="0" layoutInCell="1" allowOverlap="1" wp14:anchorId="7CB487A6" wp14:editId="34C4F540">
          <wp:simplePos x="0" y="0"/>
          <wp:positionH relativeFrom="column">
            <wp:posOffset>1706245</wp:posOffset>
          </wp:positionH>
          <wp:positionV relativeFrom="paragraph">
            <wp:posOffset>-178435</wp:posOffset>
          </wp:positionV>
          <wp:extent cx="2276475" cy="390525"/>
          <wp:effectExtent l="0" t="0" r="9525" b="9525"/>
          <wp:wrapTight wrapText="bothSides">
            <wp:wrapPolygon edited="0">
              <wp:start x="0" y="0"/>
              <wp:lineTo x="0" y="21073"/>
              <wp:lineTo x="21510" y="21073"/>
              <wp:lineTo x="21510" y="0"/>
              <wp:lineTo x="0" y="0"/>
            </wp:wrapPolygon>
          </wp:wrapTight>
          <wp:docPr id="1606377275" name="Imagen 160637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90525"/>
                  </a:xfrm>
                  <a:prstGeom prst="rect">
                    <a:avLst/>
                  </a:prstGeom>
                  <a:noFill/>
                  <a:ln>
                    <a:noFill/>
                  </a:ln>
                </pic:spPr>
              </pic:pic>
            </a:graphicData>
          </a:graphic>
        </wp:anchor>
      </w:drawing>
    </w:r>
    <w:r>
      <w:rPr>
        <w:noProof/>
        <w:lang w:val="es-PY" w:eastAsia="es-PY"/>
      </w:rPr>
      <mc:AlternateContent>
        <mc:Choice Requires="wps">
          <w:drawing>
            <wp:anchor distT="0" distB="0" distL="114300" distR="114300" simplePos="0" relativeHeight="251660288" behindDoc="0" locked="0" layoutInCell="1" allowOverlap="1" wp14:anchorId="03015B2A" wp14:editId="66131599">
              <wp:simplePos x="0" y="0"/>
              <wp:positionH relativeFrom="column">
                <wp:posOffset>-984885</wp:posOffset>
              </wp:positionH>
              <wp:positionV relativeFrom="paragraph">
                <wp:posOffset>335915</wp:posOffset>
              </wp:positionV>
              <wp:extent cx="7400925" cy="0"/>
              <wp:effectExtent l="0" t="0" r="0" b="0"/>
              <wp:wrapNone/>
              <wp:docPr id="1227062769" name="Conector recto 3"/>
              <wp:cNvGraphicFramePr/>
              <a:graphic xmlns:a="http://schemas.openxmlformats.org/drawingml/2006/main">
                <a:graphicData uri="http://schemas.microsoft.com/office/word/2010/wordprocessingShape">
                  <wps:wsp>
                    <wps:cNvCnPr/>
                    <wps:spPr>
                      <a:xfrm>
                        <a:off x="0" y="0"/>
                        <a:ext cx="74009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FF7077"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55pt,26.45pt" to="505.2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" strokecolor="red" strokeweight="1.5pt">
              <v:stroke joinstyle="miter"/>
            </v:line>
          </w:pict>
        </mc:Fallback>
      </mc:AlternateContent>
    </w:r>
  </w:p>
  <w:p w14:paraId="2235B90E" w14:textId="77777777" w:rsidR="009C6A7A" w:rsidRDefault="009C6A7A">
    <w:pPr>
      <w:pStyle w:val="Encabezado"/>
    </w:pPr>
  </w:p>
  <w:p w14:paraId="0209005E" w14:textId="77777777" w:rsidR="009C6A7A" w:rsidRDefault="009C6A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357E"/>
    <w:multiLevelType w:val="hybridMultilevel"/>
    <w:tmpl w:val="E4C62B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65"/>
    <w:rsid w:val="000207EA"/>
    <w:rsid w:val="00065DA9"/>
    <w:rsid w:val="000A028C"/>
    <w:rsid w:val="00105775"/>
    <w:rsid w:val="0014383B"/>
    <w:rsid w:val="00201603"/>
    <w:rsid w:val="00261056"/>
    <w:rsid w:val="002F1097"/>
    <w:rsid w:val="003121B2"/>
    <w:rsid w:val="00320729"/>
    <w:rsid w:val="00345819"/>
    <w:rsid w:val="00355AFE"/>
    <w:rsid w:val="003C23B4"/>
    <w:rsid w:val="004048EB"/>
    <w:rsid w:val="00404AE1"/>
    <w:rsid w:val="004163A7"/>
    <w:rsid w:val="00427699"/>
    <w:rsid w:val="00432C10"/>
    <w:rsid w:val="004B7A9E"/>
    <w:rsid w:val="004D39D8"/>
    <w:rsid w:val="004E4796"/>
    <w:rsid w:val="00523C95"/>
    <w:rsid w:val="005A748E"/>
    <w:rsid w:val="005D1B33"/>
    <w:rsid w:val="005F1C79"/>
    <w:rsid w:val="00633EF6"/>
    <w:rsid w:val="006421B7"/>
    <w:rsid w:val="00646366"/>
    <w:rsid w:val="00665033"/>
    <w:rsid w:val="00666B43"/>
    <w:rsid w:val="00694CF0"/>
    <w:rsid w:val="006A54B2"/>
    <w:rsid w:val="006C38C6"/>
    <w:rsid w:val="00710766"/>
    <w:rsid w:val="00721DD9"/>
    <w:rsid w:val="007514A2"/>
    <w:rsid w:val="007640F3"/>
    <w:rsid w:val="0077351C"/>
    <w:rsid w:val="007D1683"/>
    <w:rsid w:val="007E3ABA"/>
    <w:rsid w:val="00804006"/>
    <w:rsid w:val="00825E48"/>
    <w:rsid w:val="008563A8"/>
    <w:rsid w:val="00861F82"/>
    <w:rsid w:val="008B20E8"/>
    <w:rsid w:val="008D1035"/>
    <w:rsid w:val="00922F9C"/>
    <w:rsid w:val="00943140"/>
    <w:rsid w:val="00955DE0"/>
    <w:rsid w:val="00956709"/>
    <w:rsid w:val="00990665"/>
    <w:rsid w:val="009C6A7A"/>
    <w:rsid w:val="009D1095"/>
    <w:rsid w:val="00A07197"/>
    <w:rsid w:val="00A20EE5"/>
    <w:rsid w:val="00A37F2D"/>
    <w:rsid w:val="00AA32E1"/>
    <w:rsid w:val="00AC2613"/>
    <w:rsid w:val="00B05761"/>
    <w:rsid w:val="00B81F25"/>
    <w:rsid w:val="00BE3A54"/>
    <w:rsid w:val="00BE4346"/>
    <w:rsid w:val="00C13BBD"/>
    <w:rsid w:val="00C25322"/>
    <w:rsid w:val="00C47CAD"/>
    <w:rsid w:val="00C553A1"/>
    <w:rsid w:val="00C60C3D"/>
    <w:rsid w:val="00C72D1E"/>
    <w:rsid w:val="00C75105"/>
    <w:rsid w:val="00CA47E6"/>
    <w:rsid w:val="00CE0DE7"/>
    <w:rsid w:val="00D315E8"/>
    <w:rsid w:val="00D31C5E"/>
    <w:rsid w:val="00D472F0"/>
    <w:rsid w:val="00D61A85"/>
    <w:rsid w:val="00D641BA"/>
    <w:rsid w:val="00DA1EE6"/>
    <w:rsid w:val="00DA73EF"/>
    <w:rsid w:val="00DE0AB3"/>
    <w:rsid w:val="00E23BC3"/>
    <w:rsid w:val="00E962C4"/>
    <w:rsid w:val="00ED5083"/>
    <w:rsid w:val="00F46A48"/>
    <w:rsid w:val="00F84C7B"/>
    <w:rsid w:val="00FF0DEA"/>
    <w:rsid w:val="00FF3F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B858"/>
  <w15:docId w15:val="{5B07591A-7ACF-4537-B6AF-A9C0B18D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665"/>
    <w:rPr>
      <w:kern w:val="0"/>
      <w:lang w:val="es-419"/>
      <w14:ligatures w14:val="none"/>
    </w:rPr>
  </w:style>
  <w:style w:type="paragraph" w:styleId="Ttulo1">
    <w:name w:val="heading 1"/>
    <w:basedOn w:val="Normal"/>
    <w:next w:val="Normal"/>
    <w:link w:val="Ttulo1Car"/>
    <w:uiPriority w:val="9"/>
    <w:qFormat/>
    <w:rsid w:val="00922F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06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0665"/>
    <w:rPr>
      <w:kern w:val="0"/>
      <w:lang w:val="es-419"/>
      <w14:ligatures w14:val="none"/>
    </w:rPr>
  </w:style>
  <w:style w:type="paragraph" w:styleId="Piedepgina">
    <w:name w:val="footer"/>
    <w:basedOn w:val="Normal"/>
    <w:link w:val="PiedepginaCar"/>
    <w:uiPriority w:val="99"/>
    <w:unhideWhenUsed/>
    <w:rsid w:val="009906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0665"/>
    <w:rPr>
      <w:kern w:val="0"/>
      <w:lang w:val="es-419"/>
      <w14:ligatures w14:val="none"/>
    </w:rPr>
  </w:style>
  <w:style w:type="paragraph" w:styleId="Sinespaciado">
    <w:name w:val="No Spacing"/>
    <w:uiPriority w:val="1"/>
    <w:qFormat/>
    <w:rsid w:val="00990665"/>
    <w:pPr>
      <w:spacing w:after="0" w:line="240" w:lineRule="auto"/>
    </w:pPr>
    <w:rPr>
      <w:kern w:val="0"/>
      <w:lang w:val="es-419"/>
      <w14:ligatures w14:val="none"/>
    </w:rPr>
  </w:style>
  <w:style w:type="paragraph" w:styleId="Prrafodelista">
    <w:name w:val="List Paragraph"/>
    <w:basedOn w:val="Normal"/>
    <w:uiPriority w:val="34"/>
    <w:qFormat/>
    <w:rsid w:val="00C47CAD"/>
    <w:pPr>
      <w:ind w:left="720"/>
      <w:contextualSpacing/>
    </w:pPr>
  </w:style>
  <w:style w:type="character" w:customStyle="1" w:styleId="Ttulo1Car">
    <w:name w:val="Título 1 Car"/>
    <w:basedOn w:val="Fuentedeprrafopredeter"/>
    <w:link w:val="Ttulo1"/>
    <w:uiPriority w:val="9"/>
    <w:rsid w:val="00922F9C"/>
    <w:rPr>
      <w:rFonts w:asciiTheme="majorHAnsi" w:eastAsiaTheme="majorEastAsia" w:hAnsiTheme="majorHAnsi" w:cstheme="majorBidi"/>
      <w:color w:val="2F5496" w:themeColor="accent1" w:themeShade="BF"/>
      <w:kern w:val="0"/>
      <w:sz w:val="32"/>
      <w:szCs w:val="32"/>
      <w:lang w:val="es-419"/>
      <w14:ligatures w14:val="none"/>
    </w:rPr>
  </w:style>
  <w:style w:type="paragraph" w:styleId="Encabezadodemensaje">
    <w:name w:val="Message Header"/>
    <w:basedOn w:val="Normal"/>
    <w:link w:val="EncabezadodemensajeCar"/>
    <w:uiPriority w:val="99"/>
    <w:unhideWhenUsed/>
    <w:rsid w:val="00922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922F9C"/>
    <w:rPr>
      <w:rFonts w:asciiTheme="majorHAnsi" w:eastAsiaTheme="majorEastAsia" w:hAnsiTheme="majorHAnsi" w:cstheme="majorBidi"/>
      <w:kern w:val="0"/>
      <w:sz w:val="24"/>
      <w:szCs w:val="24"/>
      <w:shd w:val="pct20" w:color="auto" w:fill="auto"/>
      <w:lang w:val="es-419"/>
      <w14:ligatures w14:val="none"/>
    </w:rPr>
  </w:style>
  <w:style w:type="paragraph" w:styleId="Ttulo">
    <w:name w:val="Title"/>
    <w:basedOn w:val="Normal"/>
    <w:next w:val="Normal"/>
    <w:link w:val="TtuloCar"/>
    <w:uiPriority w:val="10"/>
    <w:qFormat/>
    <w:rsid w:val="00922F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F9C"/>
    <w:rPr>
      <w:rFonts w:asciiTheme="majorHAnsi" w:eastAsiaTheme="majorEastAsia" w:hAnsiTheme="majorHAnsi" w:cstheme="majorBidi"/>
      <w:spacing w:val="-10"/>
      <w:kern w:val="28"/>
      <w:sz w:val="56"/>
      <w:szCs w:val="56"/>
      <w:lang w:val="es-419"/>
      <w14:ligatures w14:val="none"/>
    </w:rPr>
  </w:style>
  <w:style w:type="paragraph" w:styleId="Textoindependiente">
    <w:name w:val="Body Text"/>
    <w:basedOn w:val="Normal"/>
    <w:link w:val="TextoindependienteCar"/>
    <w:uiPriority w:val="99"/>
    <w:semiHidden/>
    <w:unhideWhenUsed/>
    <w:rsid w:val="00922F9C"/>
    <w:pPr>
      <w:spacing w:after="120"/>
    </w:pPr>
  </w:style>
  <w:style w:type="character" w:customStyle="1" w:styleId="TextoindependienteCar">
    <w:name w:val="Texto independiente Car"/>
    <w:basedOn w:val="Fuentedeprrafopredeter"/>
    <w:link w:val="Textoindependiente"/>
    <w:uiPriority w:val="99"/>
    <w:semiHidden/>
    <w:rsid w:val="00922F9C"/>
    <w:rPr>
      <w:kern w:val="0"/>
      <w:lang w:val="es-419"/>
      <w14:ligatures w14:val="none"/>
    </w:rPr>
  </w:style>
  <w:style w:type="paragraph" w:styleId="Textoindependienteprimerasangra">
    <w:name w:val="Body Text First Indent"/>
    <w:basedOn w:val="Textoindependiente"/>
    <w:link w:val="TextoindependienteprimerasangraCar"/>
    <w:uiPriority w:val="99"/>
    <w:unhideWhenUsed/>
    <w:rsid w:val="00922F9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922F9C"/>
    <w:rPr>
      <w:kern w:val="0"/>
      <w:lang w:val="es-419"/>
      <w14:ligatures w14:val="none"/>
    </w:rPr>
  </w:style>
  <w:style w:type="paragraph" w:styleId="Textonotapie">
    <w:name w:val="footnote text"/>
    <w:basedOn w:val="Normal"/>
    <w:link w:val="TextonotapieCar"/>
    <w:uiPriority w:val="99"/>
    <w:semiHidden/>
    <w:unhideWhenUsed/>
    <w:rsid w:val="00523C95"/>
    <w:pPr>
      <w:spacing w:after="0" w:line="240" w:lineRule="auto"/>
    </w:pPr>
    <w:rPr>
      <w:kern w:val="2"/>
      <w:sz w:val="20"/>
      <w:szCs w:val="20"/>
      <w:lang w:val="es-AR"/>
      <w14:ligatures w14:val="standardContextual"/>
    </w:rPr>
  </w:style>
  <w:style w:type="character" w:customStyle="1" w:styleId="TextonotapieCar">
    <w:name w:val="Texto nota pie Car"/>
    <w:basedOn w:val="Fuentedeprrafopredeter"/>
    <w:link w:val="Textonotapie"/>
    <w:uiPriority w:val="99"/>
    <w:semiHidden/>
    <w:rsid w:val="00523C95"/>
    <w:rPr>
      <w:sz w:val="20"/>
      <w:szCs w:val="20"/>
      <w:lang w:val="es-AR"/>
    </w:rPr>
  </w:style>
  <w:style w:type="character" w:styleId="Refdenotaalpie">
    <w:name w:val="footnote reference"/>
    <w:basedOn w:val="Fuentedeprrafopredeter"/>
    <w:uiPriority w:val="99"/>
    <w:semiHidden/>
    <w:unhideWhenUsed/>
    <w:rsid w:val="00523C95"/>
    <w:rPr>
      <w:vertAlign w:val="superscript"/>
    </w:rPr>
  </w:style>
  <w:style w:type="character" w:styleId="Refdecomentario">
    <w:name w:val="annotation reference"/>
    <w:basedOn w:val="Fuentedeprrafopredeter"/>
    <w:uiPriority w:val="99"/>
    <w:semiHidden/>
    <w:unhideWhenUsed/>
    <w:rsid w:val="005F1C79"/>
    <w:rPr>
      <w:sz w:val="16"/>
      <w:szCs w:val="16"/>
    </w:rPr>
  </w:style>
  <w:style w:type="paragraph" w:styleId="Textocomentario">
    <w:name w:val="annotation text"/>
    <w:basedOn w:val="Normal"/>
    <w:link w:val="TextocomentarioCar"/>
    <w:uiPriority w:val="99"/>
    <w:semiHidden/>
    <w:unhideWhenUsed/>
    <w:rsid w:val="005F1C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1C79"/>
    <w:rPr>
      <w:kern w:val="0"/>
      <w:sz w:val="20"/>
      <w:szCs w:val="20"/>
      <w:lang w:val="es-419"/>
      <w14:ligatures w14:val="none"/>
    </w:rPr>
  </w:style>
  <w:style w:type="paragraph" w:styleId="Textodeglobo">
    <w:name w:val="Balloon Text"/>
    <w:basedOn w:val="Normal"/>
    <w:link w:val="TextodegloboCar"/>
    <w:uiPriority w:val="99"/>
    <w:semiHidden/>
    <w:unhideWhenUsed/>
    <w:rsid w:val="005F1C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C79"/>
    <w:rPr>
      <w:rFonts w:ascii="Segoe UI" w:hAnsi="Segoe UI" w:cs="Segoe UI"/>
      <w:kern w:val="0"/>
      <w:sz w:val="18"/>
      <w:szCs w:val="18"/>
      <w:lang w:val="es-419"/>
      <w14:ligatures w14:val="none"/>
    </w:rPr>
  </w:style>
  <w:style w:type="paragraph" w:styleId="Asuntodelcomentario">
    <w:name w:val="annotation subject"/>
    <w:basedOn w:val="Textocomentario"/>
    <w:next w:val="Textocomentario"/>
    <w:link w:val="AsuntodelcomentarioCar"/>
    <w:uiPriority w:val="99"/>
    <w:semiHidden/>
    <w:unhideWhenUsed/>
    <w:rsid w:val="002F1097"/>
    <w:rPr>
      <w:b/>
      <w:bCs/>
    </w:rPr>
  </w:style>
  <w:style w:type="character" w:customStyle="1" w:styleId="AsuntodelcomentarioCar">
    <w:name w:val="Asunto del comentario Car"/>
    <w:basedOn w:val="TextocomentarioCar"/>
    <w:link w:val="Asuntodelcomentario"/>
    <w:uiPriority w:val="99"/>
    <w:semiHidden/>
    <w:rsid w:val="002F1097"/>
    <w:rPr>
      <w:b/>
      <w:bCs/>
      <w:kern w:val="0"/>
      <w:sz w:val="20"/>
      <w:szCs w:val="20"/>
      <w:lang w:val="es-419"/>
      <w14:ligatures w14:val="none"/>
    </w:rPr>
  </w:style>
  <w:style w:type="paragraph" w:styleId="Revisin">
    <w:name w:val="Revision"/>
    <w:hidden/>
    <w:uiPriority w:val="99"/>
    <w:semiHidden/>
    <w:rsid w:val="002F1097"/>
    <w:pPr>
      <w:spacing w:after="0" w:line="240" w:lineRule="auto"/>
    </w:pPr>
    <w:rPr>
      <w:kern w:val="0"/>
      <w:lang w:val="es-419"/>
      <w14:ligatures w14:val="none"/>
    </w:rPr>
  </w:style>
  <w:style w:type="paragraph" w:customStyle="1" w:styleId="font-claude-response-body">
    <w:name w:val="font-claude-response-body"/>
    <w:basedOn w:val="Normal"/>
    <w:rsid w:val="006C38C6"/>
    <w:pPr>
      <w:spacing w:before="100" w:beforeAutospacing="1" w:after="100" w:afterAutospacing="1" w:line="240" w:lineRule="auto"/>
    </w:pPr>
    <w:rPr>
      <w:rFonts w:ascii="Times New Roman" w:eastAsia="Times New Roman" w:hAnsi="Times New Roman" w:cs="Times New Roman"/>
      <w:sz w:val="24"/>
      <w:szCs w:val="24"/>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28CB8-AF2F-4B8D-9D51-10756B96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2716</Words>
  <Characters>14943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MAURA RAMOS</dc:creator>
  <cp:keywords/>
  <dc:description/>
  <cp:lastModifiedBy>Usuario</cp:lastModifiedBy>
  <cp:revision>7</cp:revision>
  <cp:lastPrinted>2025-07-18T12:21:00Z</cp:lastPrinted>
  <dcterms:created xsi:type="dcterms:W3CDTF">2026-01-14T17:36:00Z</dcterms:created>
  <dcterms:modified xsi:type="dcterms:W3CDTF">2026-01-15T11:42:00Z</dcterms:modified>
</cp:coreProperties>
</file>