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F82B2" w14:textId="77777777" w:rsidR="000F595A" w:rsidRPr="00D72E80" w:rsidRDefault="000F595A" w:rsidP="00525C75">
      <w:pPr>
        <w:spacing w:after="0"/>
        <w:jc w:val="center"/>
        <w:rPr>
          <w:rFonts w:ascii="Arial" w:hAnsi="Arial" w:cs="Arial"/>
          <w:b/>
          <w:bCs/>
          <w:sz w:val="24"/>
          <w:szCs w:val="24"/>
        </w:rPr>
      </w:pPr>
      <w:r w:rsidRPr="00D72E80">
        <w:rPr>
          <w:rFonts w:ascii="Arial" w:hAnsi="Arial" w:cs="Arial"/>
          <w:b/>
          <w:bCs/>
          <w:sz w:val="24"/>
          <w:szCs w:val="24"/>
        </w:rPr>
        <w:t>INFORME DE RENDICIÓN DE CUENTAS AL CIUDADANO</w:t>
      </w:r>
    </w:p>
    <w:p w14:paraId="3F75C633" w14:textId="7ED506D9" w:rsidR="000F595A" w:rsidRDefault="000F595A" w:rsidP="00525C75">
      <w:pPr>
        <w:spacing w:after="0"/>
        <w:jc w:val="center"/>
        <w:rPr>
          <w:rFonts w:ascii="Arial" w:hAnsi="Arial" w:cs="Arial"/>
          <w:b/>
          <w:bCs/>
          <w:sz w:val="24"/>
          <w:szCs w:val="24"/>
        </w:rPr>
      </w:pPr>
      <w:r w:rsidRPr="00D72E80">
        <w:rPr>
          <w:rFonts w:ascii="Arial" w:hAnsi="Arial" w:cs="Arial"/>
          <w:b/>
          <w:bCs/>
          <w:sz w:val="24"/>
          <w:szCs w:val="24"/>
        </w:rPr>
        <w:t xml:space="preserve">Punto 8 – Descripción cualitativa de los logros alcanzados y ejecutados en el </w:t>
      </w:r>
      <w:r w:rsidR="00194C25">
        <w:rPr>
          <w:rFonts w:ascii="Arial" w:hAnsi="Arial" w:cs="Arial"/>
          <w:b/>
          <w:bCs/>
          <w:sz w:val="24"/>
          <w:szCs w:val="24"/>
        </w:rPr>
        <w:t>tercer</w:t>
      </w:r>
      <w:r w:rsidRPr="00D72E80">
        <w:rPr>
          <w:rFonts w:ascii="Arial" w:hAnsi="Arial" w:cs="Arial"/>
          <w:b/>
          <w:bCs/>
          <w:sz w:val="24"/>
          <w:szCs w:val="24"/>
        </w:rPr>
        <w:t xml:space="preserve"> trimestre del ejercicio fiscal 2025.</w:t>
      </w:r>
    </w:p>
    <w:p w14:paraId="4D74B85B" w14:textId="77777777" w:rsidR="00525C75" w:rsidRPr="00D72E80" w:rsidRDefault="00525C75" w:rsidP="00525C75">
      <w:pPr>
        <w:spacing w:after="0"/>
        <w:jc w:val="center"/>
        <w:rPr>
          <w:rFonts w:ascii="Arial" w:hAnsi="Arial" w:cs="Arial"/>
          <w:b/>
          <w:bCs/>
          <w:sz w:val="24"/>
          <w:szCs w:val="24"/>
        </w:rPr>
      </w:pPr>
    </w:p>
    <w:p w14:paraId="24415CB5" w14:textId="77777777" w:rsidR="000F595A" w:rsidRPr="00A810D8" w:rsidRDefault="000F595A" w:rsidP="00525C75">
      <w:pPr>
        <w:spacing w:after="0" w:line="240" w:lineRule="auto"/>
        <w:jc w:val="both"/>
        <w:rPr>
          <w:rFonts w:ascii="Arial" w:hAnsi="Arial" w:cs="Arial"/>
          <w:sz w:val="24"/>
          <w:szCs w:val="24"/>
        </w:rPr>
      </w:pPr>
      <w:r w:rsidRPr="00A810D8">
        <w:rPr>
          <w:rFonts w:ascii="Arial" w:hAnsi="Arial" w:cs="Arial"/>
          <w:sz w:val="24"/>
          <w:szCs w:val="24"/>
        </w:rPr>
        <w:t>El Ministerio de Desarrollo Social (MDS), creado por la Ley N.º 6.137/2018, tiene como objetivo diseñar e implementar políticas, planes, programas y proyectos centrados en el desarrollo y la equidad social. Su propósito es activar mecanismos de coordinación y articulación intersectorial a nivel central, departamental y distrital, con el fin de encaminar acciones tendientes a reducir las desigualdades y mejorar la calidad de vida de la población vulnerable.</w:t>
      </w:r>
    </w:p>
    <w:p w14:paraId="447BAC6E" w14:textId="77777777" w:rsidR="000F595A" w:rsidRPr="00A810D8" w:rsidRDefault="000F595A" w:rsidP="00525C75">
      <w:pPr>
        <w:spacing w:after="0" w:line="240" w:lineRule="auto"/>
        <w:jc w:val="both"/>
        <w:rPr>
          <w:rFonts w:ascii="Arial" w:hAnsi="Arial" w:cs="Arial"/>
          <w:sz w:val="24"/>
          <w:szCs w:val="24"/>
        </w:rPr>
      </w:pPr>
    </w:p>
    <w:p w14:paraId="7A8E5ED9" w14:textId="0472D5AB" w:rsidR="000F595A" w:rsidRPr="00A810D8" w:rsidRDefault="000F595A" w:rsidP="00525C75">
      <w:pPr>
        <w:spacing w:after="0" w:line="240" w:lineRule="auto"/>
        <w:jc w:val="both"/>
        <w:rPr>
          <w:rFonts w:ascii="Arial" w:hAnsi="Arial" w:cs="Arial"/>
          <w:sz w:val="24"/>
          <w:szCs w:val="24"/>
        </w:rPr>
      </w:pPr>
      <w:r w:rsidRPr="00A810D8">
        <w:rPr>
          <w:rFonts w:ascii="Arial" w:hAnsi="Arial" w:cs="Arial"/>
          <w:sz w:val="24"/>
          <w:szCs w:val="24"/>
        </w:rPr>
        <w:t>El MDS históricamente ha venido implementando los programas Tekoporã, Tenonderã, Tekoha, Comedores y Centros Comunitarios, así como el Programa de Asistencia a Pescadores y coordina las actividades del CONADA. Desde el 2024, asume la administración de dos programas emblemáticos: la Pensión Universal para las Personas Adultos Mayores (Ley N.º 7.322/2024) y el Programa de Alimentación Escolar Hambre Cero en las Escuelas (Ley N.º 7.264/2024).</w:t>
      </w:r>
    </w:p>
    <w:p w14:paraId="367637EC" w14:textId="77777777" w:rsidR="000F595A" w:rsidRPr="00A810D8" w:rsidRDefault="000F595A" w:rsidP="00525C75">
      <w:pPr>
        <w:spacing w:after="0" w:line="240" w:lineRule="auto"/>
        <w:jc w:val="both"/>
        <w:rPr>
          <w:rFonts w:ascii="Arial" w:hAnsi="Arial" w:cs="Arial"/>
          <w:sz w:val="24"/>
          <w:szCs w:val="24"/>
        </w:rPr>
      </w:pPr>
    </w:p>
    <w:p w14:paraId="42D99588" w14:textId="6EBF404A" w:rsidR="000F595A" w:rsidRPr="00A810D8" w:rsidRDefault="005C16A3" w:rsidP="00525C75">
      <w:pPr>
        <w:spacing w:after="0" w:line="240" w:lineRule="auto"/>
        <w:jc w:val="both"/>
        <w:rPr>
          <w:rFonts w:ascii="Arial" w:hAnsi="Arial" w:cs="Arial"/>
          <w:sz w:val="24"/>
          <w:szCs w:val="24"/>
        </w:rPr>
      </w:pPr>
      <w:r>
        <w:rPr>
          <w:rFonts w:ascii="Arial" w:hAnsi="Arial" w:cs="Arial"/>
          <w:sz w:val="24"/>
          <w:szCs w:val="24"/>
        </w:rPr>
        <w:t>Los</w:t>
      </w:r>
      <w:r w:rsidR="000F595A" w:rsidRPr="00A810D8">
        <w:rPr>
          <w:rFonts w:ascii="Arial" w:hAnsi="Arial" w:cs="Arial"/>
          <w:sz w:val="24"/>
          <w:szCs w:val="24"/>
        </w:rPr>
        <w:t xml:space="preserve"> resultados y acciones cualitativos ejecutados en el </w:t>
      </w:r>
      <w:r w:rsidR="00FC0949" w:rsidRPr="00A810D8">
        <w:rPr>
          <w:rFonts w:ascii="Arial" w:hAnsi="Arial" w:cs="Arial"/>
          <w:sz w:val="24"/>
          <w:szCs w:val="24"/>
        </w:rPr>
        <w:t>Tercer</w:t>
      </w:r>
      <w:r w:rsidR="000F595A" w:rsidRPr="00A810D8">
        <w:rPr>
          <w:rFonts w:ascii="Arial" w:hAnsi="Arial" w:cs="Arial"/>
          <w:sz w:val="24"/>
          <w:szCs w:val="24"/>
        </w:rPr>
        <w:t xml:space="preserve"> Trimestre del Ejercicio Fiscal 2025, en línea con los</w:t>
      </w:r>
      <w:r>
        <w:rPr>
          <w:rFonts w:ascii="Arial" w:hAnsi="Arial" w:cs="Arial"/>
          <w:sz w:val="24"/>
          <w:szCs w:val="24"/>
        </w:rPr>
        <w:t xml:space="preserve"> objetivos estratégicos del MDS, se presentan a continuación:</w:t>
      </w:r>
    </w:p>
    <w:p w14:paraId="34209B63" w14:textId="77777777" w:rsidR="000F595A" w:rsidRDefault="000F595A" w:rsidP="00525C75">
      <w:pPr>
        <w:spacing w:after="0" w:line="240" w:lineRule="auto"/>
        <w:jc w:val="both"/>
        <w:rPr>
          <w:rFonts w:ascii="Arial" w:hAnsi="Arial" w:cs="Arial"/>
          <w:b/>
          <w:bCs/>
          <w:sz w:val="24"/>
          <w:szCs w:val="24"/>
        </w:rPr>
      </w:pPr>
    </w:p>
    <w:p w14:paraId="304A4F0F" w14:textId="1C24002C" w:rsidR="000F595A" w:rsidRDefault="000F595A" w:rsidP="00525C75">
      <w:pPr>
        <w:spacing w:after="0" w:line="240" w:lineRule="auto"/>
        <w:jc w:val="center"/>
        <w:rPr>
          <w:rFonts w:ascii="Arial" w:hAnsi="Arial" w:cs="Arial"/>
          <w:b/>
          <w:bCs/>
          <w:sz w:val="24"/>
          <w:szCs w:val="24"/>
        </w:rPr>
      </w:pPr>
      <w:r w:rsidRPr="00D72E80">
        <w:rPr>
          <w:rFonts w:ascii="Arial" w:hAnsi="Arial" w:cs="Arial"/>
          <w:b/>
          <w:bCs/>
          <w:sz w:val="24"/>
          <w:szCs w:val="24"/>
        </w:rPr>
        <w:t>PROGRAMA TEKOPORÃ</w:t>
      </w:r>
      <w:r w:rsidR="00E74964" w:rsidRPr="00E74964">
        <w:rPr>
          <w:rStyle w:val="Refdenotaalpie"/>
          <w:rFonts w:ascii="Arial" w:hAnsi="Arial" w:cs="Arial"/>
          <w:sz w:val="24"/>
          <w:szCs w:val="24"/>
        </w:rPr>
        <w:footnoteReference w:id="1"/>
      </w:r>
    </w:p>
    <w:p w14:paraId="4345319A" w14:textId="77777777" w:rsidR="0038146E" w:rsidRDefault="0038146E" w:rsidP="00525C75">
      <w:pPr>
        <w:spacing w:after="0" w:line="240" w:lineRule="auto"/>
        <w:jc w:val="both"/>
        <w:rPr>
          <w:rFonts w:ascii="Arial" w:hAnsi="Arial" w:cs="Arial"/>
          <w:sz w:val="24"/>
          <w:szCs w:val="24"/>
        </w:rPr>
      </w:pPr>
    </w:p>
    <w:p w14:paraId="3EC160AC" w14:textId="7B9FF9F5" w:rsidR="00FC0949" w:rsidRPr="00FC0949" w:rsidRDefault="00FC0949" w:rsidP="00525C75">
      <w:pPr>
        <w:spacing w:after="0" w:line="240" w:lineRule="auto"/>
        <w:jc w:val="both"/>
        <w:rPr>
          <w:rFonts w:ascii="Arial" w:hAnsi="Arial" w:cs="Arial"/>
          <w:sz w:val="24"/>
          <w:szCs w:val="24"/>
        </w:rPr>
      </w:pPr>
      <w:r w:rsidRPr="00FC0949">
        <w:rPr>
          <w:rFonts w:ascii="Arial" w:hAnsi="Arial" w:cs="Arial"/>
          <w:sz w:val="24"/>
          <w:szCs w:val="24"/>
        </w:rPr>
        <w:t>El programa de transferencia Monetaria con Corresponsabilidad, cuyo objetivo principal es mejorar la calidad de vida de la población participante, facilitando el ejercicio de los derechos a: alimentación, salud y educación, mediante el aumento del uso de servicios básicos y el fortalecimiento de las redes sociales, con el fin de cortar la transmisión intergeneracional de la pobreza.</w:t>
      </w:r>
    </w:p>
    <w:p w14:paraId="5DA230CC" w14:textId="77777777" w:rsidR="00FC0949" w:rsidRPr="00FC0949" w:rsidRDefault="00FC0949" w:rsidP="00525C75">
      <w:pPr>
        <w:spacing w:after="0" w:line="240" w:lineRule="auto"/>
        <w:jc w:val="both"/>
        <w:rPr>
          <w:rFonts w:ascii="Arial" w:hAnsi="Arial" w:cs="Arial"/>
          <w:sz w:val="24"/>
          <w:szCs w:val="24"/>
        </w:rPr>
      </w:pPr>
    </w:p>
    <w:p w14:paraId="1BA68A84" w14:textId="3236E1A5" w:rsidR="00FC0949" w:rsidRPr="00FC0949" w:rsidRDefault="00FC0949" w:rsidP="00525C75">
      <w:pPr>
        <w:spacing w:after="0" w:line="240" w:lineRule="auto"/>
        <w:jc w:val="both"/>
        <w:rPr>
          <w:rFonts w:ascii="Arial" w:hAnsi="Arial" w:cs="Arial"/>
          <w:sz w:val="24"/>
          <w:szCs w:val="24"/>
        </w:rPr>
      </w:pPr>
      <w:r w:rsidRPr="00FC0949">
        <w:rPr>
          <w:rFonts w:ascii="Arial" w:hAnsi="Arial" w:cs="Arial"/>
          <w:sz w:val="24"/>
          <w:szCs w:val="24"/>
        </w:rPr>
        <w:t xml:space="preserve">El programa cuenta con dos componentes, el acompañamiento </w:t>
      </w:r>
      <w:proofErr w:type="spellStart"/>
      <w:r w:rsidRPr="00FC0949">
        <w:rPr>
          <w:rFonts w:ascii="Arial" w:hAnsi="Arial" w:cs="Arial"/>
          <w:sz w:val="24"/>
          <w:szCs w:val="24"/>
        </w:rPr>
        <w:t>sociofamiliar</w:t>
      </w:r>
      <w:proofErr w:type="spellEnd"/>
      <w:r w:rsidRPr="00FC0949">
        <w:rPr>
          <w:rFonts w:ascii="Arial" w:hAnsi="Arial" w:cs="Arial"/>
          <w:sz w:val="24"/>
          <w:szCs w:val="24"/>
        </w:rPr>
        <w:t xml:space="preserve"> para el cumplimiento de las corresponsabilidades en salud y educación asumidas por las familias participantes con el propósito de fortalecer el capital humano de las personas; y la transferencia monetaria lo cual constituye un incentivo para el ejercicio de derecho de las familias entregado bimensualmente.</w:t>
      </w:r>
    </w:p>
    <w:p w14:paraId="7E7B411E" w14:textId="77777777" w:rsidR="00FC0949" w:rsidRPr="00FC0949" w:rsidRDefault="00FC0949" w:rsidP="00525C75">
      <w:pPr>
        <w:spacing w:after="0" w:line="240" w:lineRule="auto"/>
        <w:jc w:val="both"/>
        <w:rPr>
          <w:rFonts w:ascii="Arial" w:hAnsi="Arial" w:cs="Arial"/>
          <w:sz w:val="24"/>
          <w:szCs w:val="24"/>
        </w:rPr>
      </w:pPr>
    </w:p>
    <w:p w14:paraId="2E14DE34" w14:textId="08B3350D" w:rsidR="00FC0949" w:rsidRDefault="00FC0949" w:rsidP="00525C75">
      <w:pPr>
        <w:spacing w:after="0" w:line="240" w:lineRule="auto"/>
        <w:jc w:val="both"/>
        <w:rPr>
          <w:rFonts w:ascii="Arial" w:hAnsi="Arial" w:cs="Arial"/>
          <w:sz w:val="24"/>
          <w:szCs w:val="24"/>
        </w:rPr>
      </w:pPr>
      <w:r w:rsidRPr="00FC0949">
        <w:rPr>
          <w:rFonts w:ascii="Arial" w:hAnsi="Arial" w:cs="Arial"/>
          <w:sz w:val="24"/>
          <w:szCs w:val="24"/>
        </w:rPr>
        <w:t>En cuanto al componente de transferencia monetaria, en el 3er Trimestre del 2025, el Programa tuvo cobertura a nivel nacional. En el mes de julio llegó a unas 191.501 familias participantes. De estas, 30.971 pertenecen a personas de población indígena y unas 24.579 cuentan con discapacidad y discapacidad severa, en el mes de agosto llegó a unas 191.507 familias participantes. De estas, 30.901 pertenecen a personas de población indígena y unas 24.687 cuentan con discapacidad y discapacidad severa, En el mes de setiembre llegó a unas 191.443 familias participantes. De estas, 30.808 pertenecen a personas de población indígena y unas 24.682 cuentan con discapacidad y discapacidad severa.</w:t>
      </w:r>
    </w:p>
    <w:p w14:paraId="42784FC0" w14:textId="1C984EEC" w:rsidR="00FC0949" w:rsidRDefault="00FC0949" w:rsidP="00525C75">
      <w:pPr>
        <w:spacing w:after="0" w:line="240" w:lineRule="auto"/>
        <w:jc w:val="both"/>
        <w:rPr>
          <w:rFonts w:ascii="Arial" w:hAnsi="Arial" w:cs="Arial"/>
          <w:sz w:val="24"/>
          <w:szCs w:val="24"/>
        </w:rPr>
      </w:pPr>
    </w:p>
    <w:p w14:paraId="493F1D3D" w14:textId="262D1788" w:rsidR="000F595A" w:rsidRPr="000D3437" w:rsidRDefault="000F595A" w:rsidP="00525C75">
      <w:pPr>
        <w:pStyle w:val="NormalWeb"/>
        <w:spacing w:before="0" w:beforeAutospacing="0" w:after="0" w:afterAutospacing="0"/>
        <w:jc w:val="center"/>
        <w:rPr>
          <w:rFonts w:ascii="Arial" w:hAnsi="Arial" w:cs="Arial"/>
          <w:b/>
          <w:bCs/>
        </w:rPr>
      </w:pPr>
      <w:r w:rsidRPr="000D3437">
        <w:rPr>
          <w:rFonts w:ascii="Arial" w:hAnsi="Arial" w:cs="Arial"/>
          <w:b/>
          <w:bCs/>
        </w:rPr>
        <w:lastRenderedPageBreak/>
        <w:t>PROGRAMA TENONDERÃ</w:t>
      </w:r>
      <w:r w:rsidR="00934F88" w:rsidRPr="000D3437">
        <w:rPr>
          <w:rStyle w:val="Refdenotaalpie"/>
          <w:rFonts w:ascii="Arial" w:hAnsi="Arial" w:cs="Arial"/>
          <w:b/>
          <w:bCs/>
        </w:rPr>
        <w:footnoteReference w:id="2"/>
      </w:r>
    </w:p>
    <w:p w14:paraId="41230B7C" w14:textId="77777777" w:rsidR="0038146E" w:rsidRDefault="0038146E" w:rsidP="00525C75">
      <w:pPr>
        <w:pStyle w:val="NormalWeb"/>
        <w:spacing w:before="0" w:beforeAutospacing="0" w:after="0" w:afterAutospacing="0"/>
        <w:jc w:val="both"/>
        <w:rPr>
          <w:rFonts w:ascii="Arial" w:hAnsi="Arial" w:cs="Arial"/>
        </w:rPr>
      </w:pPr>
    </w:p>
    <w:p w14:paraId="00FA131D" w14:textId="508CB5B0" w:rsidR="00934F88" w:rsidRPr="00934F88" w:rsidRDefault="00934F88" w:rsidP="00525C75">
      <w:pPr>
        <w:pStyle w:val="NormalWeb"/>
        <w:spacing w:before="0" w:beforeAutospacing="0" w:after="0" w:afterAutospacing="0"/>
        <w:jc w:val="both"/>
        <w:rPr>
          <w:rFonts w:ascii="Arial" w:hAnsi="Arial" w:cs="Arial"/>
        </w:rPr>
      </w:pPr>
      <w:r w:rsidRPr="00934F88">
        <w:rPr>
          <w:rFonts w:ascii="Arial" w:hAnsi="Arial" w:cs="Arial"/>
        </w:rPr>
        <w:t>El Prog</w:t>
      </w:r>
      <w:r w:rsidR="00525C75">
        <w:rPr>
          <w:rFonts w:ascii="Arial" w:hAnsi="Arial" w:cs="Arial"/>
        </w:rPr>
        <w:t>r</w:t>
      </w:r>
      <w:r w:rsidRPr="00934F88">
        <w:rPr>
          <w:rFonts w:ascii="Arial" w:hAnsi="Arial" w:cs="Arial"/>
        </w:rPr>
        <w:t xml:space="preserve">ama de Fomento de </w:t>
      </w:r>
      <w:proofErr w:type="spellStart"/>
      <w:r w:rsidRPr="00934F88">
        <w:rPr>
          <w:rFonts w:ascii="Arial" w:hAnsi="Arial" w:cs="Arial"/>
        </w:rPr>
        <w:t>Microemprendimientos</w:t>
      </w:r>
      <w:proofErr w:type="spellEnd"/>
      <w:r w:rsidRPr="00934F88">
        <w:rPr>
          <w:rFonts w:ascii="Arial" w:hAnsi="Arial" w:cs="Arial"/>
        </w:rPr>
        <w:t xml:space="preserve"> a Participantes de Tenonderã se ha consolidado como una herramienta efectiva para promover el </w:t>
      </w:r>
      <w:proofErr w:type="spellStart"/>
      <w:r w:rsidRPr="00934F88">
        <w:rPr>
          <w:rFonts w:ascii="Arial" w:hAnsi="Arial" w:cs="Arial"/>
        </w:rPr>
        <w:t>emprendedurismo</w:t>
      </w:r>
      <w:proofErr w:type="spellEnd"/>
      <w:r w:rsidRPr="00934F88">
        <w:rPr>
          <w:rFonts w:ascii="Arial" w:hAnsi="Arial" w:cs="Arial"/>
        </w:rPr>
        <w:t xml:space="preserve"> entre los beneficiarios del Programa Tekoporã, una vez que han alcanzado su tercer año de participación en el mismo. Su impacto principal radica en brindar oportunidades para la generación de ingresos propios, de forma autónoma y sostenible.</w:t>
      </w:r>
    </w:p>
    <w:p w14:paraId="11D15C52" w14:textId="6F3AD87C" w:rsidR="00934F88" w:rsidRDefault="00934F88" w:rsidP="00525C75">
      <w:pPr>
        <w:pStyle w:val="NormalWeb"/>
        <w:spacing w:after="0" w:afterAutospacing="0"/>
        <w:jc w:val="both"/>
        <w:rPr>
          <w:rFonts w:ascii="Arial" w:hAnsi="Arial" w:cs="Arial"/>
        </w:rPr>
      </w:pPr>
      <w:r w:rsidRPr="00934F88">
        <w:rPr>
          <w:rFonts w:ascii="Arial" w:hAnsi="Arial" w:cs="Arial"/>
        </w:rPr>
        <w:t>Al cierre del tercer trimestre del año en curso, el programa se encuentra en una etapa de ajustes operativos, con el objetivo de optimizar los procedimientos de transferencia y mejorar el seguimiento a los participantes, garantizando así una gestión más eficiente.</w:t>
      </w:r>
    </w:p>
    <w:p w14:paraId="283B9388" w14:textId="710AFC53" w:rsidR="00934F88" w:rsidRPr="00934F88" w:rsidRDefault="00934F88" w:rsidP="00525C75">
      <w:pPr>
        <w:pStyle w:val="NormalWeb"/>
        <w:spacing w:after="0" w:afterAutospacing="0"/>
        <w:jc w:val="both"/>
        <w:rPr>
          <w:rFonts w:ascii="Arial" w:hAnsi="Arial" w:cs="Arial"/>
        </w:rPr>
      </w:pPr>
      <w:r w:rsidRPr="00934F88">
        <w:rPr>
          <w:rFonts w:ascii="Arial" w:hAnsi="Arial" w:cs="Arial"/>
        </w:rPr>
        <w:t>Durante este período, se brindó fortalecimiento a 4.063 participantes mediante capacitaciones en las áreas de Habilidades para la Vida, Habilidades Emprendedoras y Habilidades Financieras. De este total, 3.620 son mujeres y 443 varones, lo que refleja un fuerte componente de participación femenina en el programa.</w:t>
      </w:r>
    </w:p>
    <w:p w14:paraId="1FDFAE9C" w14:textId="1B6CD090" w:rsidR="00934F88" w:rsidRPr="00934F88" w:rsidRDefault="00934F88" w:rsidP="00525C75">
      <w:pPr>
        <w:pStyle w:val="NormalWeb"/>
        <w:spacing w:after="0" w:afterAutospacing="0"/>
        <w:jc w:val="both"/>
        <w:rPr>
          <w:rFonts w:ascii="Arial" w:hAnsi="Arial" w:cs="Arial"/>
        </w:rPr>
      </w:pPr>
      <w:r w:rsidRPr="00934F88">
        <w:rPr>
          <w:rFonts w:ascii="Arial" w:hAnsi="Arial" w:cs="Arial"/>
        </w:rPr>
        <w:t>Así también, unos 3.004 participantes recibieron acompañamiento técnico en sus respectivos emprendimientos, de los cuales 2.735 son mujeres y 269 varones.</w:t>
      </w:r>
    </w:p>
    <w:p w14:paraId="69A4B119" w14:textId="062E5238" w:rsidR="00934F88" w:rsidRPr="00934F88" w:rsidRDefault="00934F88" w:rsidP="00525C75">
      <w:pPr>
        <w:pStyle w:val="NormalWeb"/>
        <w:spacing w:after="0" w:afterAutospacing="0"/>
        <w:jc w:val="both"/>
        <w:rPr>
          <w:rFonts w:ascii="Arial" w:hAnsi="Arial" w:cs="Arial"/>
        </w:rPr>
      </w:pPr>
      <w:r w:rsidRPr="00934F88">
        <w:rPr>
          <w:rFonts w:ascii="Arial" w:hAnsi="Arial" w:cs="Arial"/>
        </w:rPr>
        <w:t>Asimismo, se encuentra en proceso la inclusión de 3.500 nuevos participantes, en el marco de la segunda transferencia del año, lo que permitirá ampliar el alcance y continuar promoviendo la autonomía económica de las familias participantes.</w:t>
      </w:r>
    </w:p>
    <w:p w14:paraId="26FC7DE2" w14:textId="77777777" w:rsidR="001C3A77" w:rsidRDefault="001C3A77" w:rsidP="00525C75">
      <w:pPr>
        <w:pStyle w:val="NormalWeb"/>
        <w:spacing w:before="0" w:beforeAutospacing="0" w:after="0" w:afterAutospacing="0"/>
        <w:jc w:val="both"/>
        <w:rPr>
          <w:rFonts w:ascii="Arial" w:hAnsi="Arial" w:cs="Arial"/>
          <w:b/>
          <w:bCs/>
        </w:rPr>
      </w:pPr>
    </w:p>
    <w:p w14:paraId="290F6B56" w14:textId="330A58BA" w:rsidR="000F595A" w:rsidRPr="00E0645A" w:rsidRDefault="000F595A" w:rsidP="00525C75">
      <w:pPr>
        <w:pStyle w:val="NormalWeb"/>
        <w:spacing w:before="0" w:beforeAutospacing="0" w:after="0" w:afterAutospacing="0"/>
        <w:jc w:val="center"/>
        <w:rPr>
          <w:rFonts w:ascii="Arial" w:hAnsi="Arial" w:cs="Arial"/>
          <w:b/>
          <w:bCs/>
        </w:rPr>
      </w:pPr>
      <w:r w:rsidRPr="00E0645A">
        <w:rPr>
          <w:rFonts w:ascii="Arial" w:hAnsi="Arial" w:cs="Arial"/>
          <w:b/>
          <w:bCs/>
        </w:rPr>
        <w:t>REGULARIZACIÓN DE TERRITORIOS SOCIALES</w:t>
      </w:r>
      <w:r w:rsidR="00E0645A" w:rsidRPr="00E0645A">
        <w:rPr>
          <w:rStyle w:val="Refdenotaalpie"/>
          <w:rFonts w:ascii="Arial" w:hAnsi="Arial" w:cs="Arial"/>
          <w:b/>
          <w:bCs/>
        </w:rPr>
        <w:footnoteReference w:id="3"/>
      </w:r>
    </w:p>
    <w:p w14:paraId="5A3F9BBD" w14:textId="77777777" w:rsidR="0038146E" w:rsidRDefault="0038146E" w:rsidP="00525C75">
      <w:pPr>
        <w:pStyle w:val="NormalWeb"/>
        <w:spacing w:before="0" w:beforeAutospacing="0" w:after="0" w:afterAutospacing="0"/>
        <w:jc w:val="both"/>
        <w:rPr>
          <w:rFonts w:ascii="Arial" w:eastAsiaTheme="minorHAnsi" w:hAnsi="Arial" w:cs="Arial"/>
          <w:lang w:eastAsia="en-US"/>
        </w:rPr>
      </w:pPr>
    </w:p>
    <w:p w14:paraId="656A9EE2" w14:textId="787C791F" w:rsidR="00E0645A" w:rsidRPr="00E0645A" w:rsidRDefault="00A636FA" w:rsidP="00525C75">
      <w:pPr>
        <w:pStyle w:val="NormalWeb"/>
        <w:spacing w:before="0" w:beforeAutospacing="0" w:after="0" w:afterAutospacing="0"/>
        <w:jc w:val="both"/>
        <w:rPr>
          <w:rFonts w:ascii="Arial" w:eastAsiaTheme="minorHAnsi" w:hAnsi="Arial" w:cs="Arial"/>
          <w:lang w:eastAsia="en-US"/>
        </w:rPr>
      </w:pPr>
      <w:r>
        <w:rPr>
          <w:rFonts w:ascii="Arial" w:eastAsiaTheme="minorHAnsi" w:hAnsi="Arial" w:cs="Arial"/>
          <w:lang w:eastAsia="en-US"/>
        </w:rPr>
        <w:t>El Programa Tekoha</w:t>
      </w:r>
      <w:r w:rsidR="00E0645A" w:rsidRPr="00E0645A">
        <w:rPr>
          <w:rFonts w:ascii="Arial" w:eastAsiaTheme="minorHAnsi" w:hAnsi="Arial" w:cs="Arial"/>
          <w:lang w:eastAsia="en-US"/>
        </w:rPr>
        <w:t xml:space="preserve"> brinda seguridad jurídica a través de contratos de compraventa de inmuebles. Además, facilita el acceso a los servicios básicos, mejora la calidad de vida y fortalece el desarrollo y el arraigo familiar.</w:t>
      </w:r>
    </w:p>
    <w:p w14:paraId="0CDD1B5D" w14:textId="7D1253D1" w:rsidR="000F595A" w:rsidRDefault="00E0645A" w:rsidP="00525C75">
      <w:pPr>
        <w:pStyle w:val="NormalWeb"/>
        <w:spacing w:before="0" w:beforeAutospacing="0" w:after="0" w:afterAutospacing="0"/>
        <w:jc w:val="both"/>
        <w:rPr>
          <w:rFonts w:ascii="Arial" w:eastAsiaTheme="minorHAnsi" w:hAnsi="Arial" w:cs="Arial"/>
          <w:lang w:eastAsia="en-US"/>
        </w:rPr>
      </w:pPr>
      <w:r w:rsidRPr="00E0645A">
        <w:rPr>
          <w:rFonts w:ascii="Arial" w:eastAsiaTheme="minorHAnsi" w:hAnsi="Arial" w:cs="Arial"/>
          <w:lang w:eastAsia="en-US"/>
        </w:rPr>
        <w:t>Durante el tercer trimestre del presente ejercicio fiscal, se suscribieron contratos de compraventa de inmuebles con 322 familias en territorios sociales. Asimismo, se realizaron 186 asignaciones de lotes a familias beneficiarias. En el mismo periodo, se brindaron un total de 2.521 atenciones vinculadas a expedientes ingresados al Programa.</w:t>
      </w:r>
    </w:p>
    <w:p w14:paraId="432669D8" w14:textId="33B7531E" w:rsidR="00625D02" w:rsidRPr="003B64EA" w:rsidRDefault="00625D02" w:rsidP="00525C75">
      <w:pPr>
        <w:pStyle w:val="NormalWeb"/>
        <w:spacing w:before="0" w:beforeAutospacing="0" w:after="0" w:afterAutospacing="0"/>
        <w:jc w:val="both"/>
        <w:rPr>
          <w:rFonts w:ascii="Arial" w:eastAsiaTheme="minorHAnsi" w:hAnsi="Arial" w:cs="Arial"/>
          <w:b/>
          <w:lang w:eastAsia="en-US"/>
        </w:rPr>
      </w:pPr>
    </w:p>
    <w:p w14:paraId="1AFC82F6" w14:textId="0467D510" w:rsidR="00625D02" w:rsidRPr="00AB2FB1" w:rsidRDefault="00625D02" w:rsidP="00525C75">
      <w:pPr>
        <w:pStyle w:val="NormalWeb"/>
        <w:spacing w:before="0" w:beforeAutospacing="0" w:after="0" w:afterAutospacing="0"/>
        <w:jc w:val="both"/>
        <w:rPr>
          <w:rFonts w:ascii="Arial" w:eastAsiaTheme="minorHAnsi" w:hAnsi="Arial" w:cs="Arial"/>
          <w:lang w:eastAsia="en-US"/>
        </w:rPr>
      </w:pPr>
      <w:r w:rsidRPr="00AB2FB1">
        <w:rPr>
          <w:rFonts w:ascii="Arial" w:eastAsiaTheme="minorHAnsi" w:hAnsi="Arial" w:cs="Arial"/>
          <w:lang w:eastAsia="en-US"/>
        </w:rPr>
        <w:t xml:space="preserve">Con relación a la suscripción de contratos, el programa tiene </w:t>
      </w:r>
      <w:r w:rsidR="00E12A66" w:rsidRPr="00AB2FB1">
        <w:rPr>
          <w:rFonts w:ascii="Arial" w:eastAsiaTheme="minorHAnsi" w:hAnsi="Arial" w:cs="Arial"/>
          <w:lang w:eastAsia="en-US"/>
        </w:rPr>
        <w:t>228</w:t>
      </w:r>
      <w:r w:rsidRPr="00AB2FB1">
        <w:rPr>
          <w:rFonts w:ascii="Arial" w:eastAsiaTheme="minorHAnsi" w:hAnsi="Arial" w:cs="Arial"/>
          <w:lang w:eastAsia="en-US"/>
        </w:rPr>
        <w:t xml:space="preserve"> contratos pendientes de la firma de los participantes y 251 en proceso de resolución para adjudicación. Estos números sumados a los </w:t>
      </w:r>
      <w:r w:rsidR="00E12A66" w:rsidRPr="00AB2FB1">
        <w:rPr>
          <w:rFonts w:ascii="Arial" w:eastAsiaTheme="minorHAnsi" w:hAnsi="Arial" w:cs="Arial"/>
          <w:lang w:eastAsia="en-US"/>
        </w:rPr>
        <w:t>643</w:t>
      </w:r>
      <w:r w:rsidRPr="00AB2FB1">
        <w:rPr>
          <w:rFonts w:ascii="Arial" w:eastAsiaTheme="minorHAnsi" w:hAnsi="Arial" w:cs="Arial"/>
          <w:lang w:eastAsia="en-US"/>
        </w:rPr>
        <w:t xml:space="preserve"> contratos firmados </w:t>
      </w:r>
      <w:r w:rsidR="00E12A66" w:rsidRPr="00AB2FB1">
        <w:rPr>
          <w:rFonts w:ascii="Arial" w:eastAsiaTheme="minorHAnsi" w:hAnsi="Arial" w:cs="Arial"/>
          <w:lang w:eastAsia="en-US"/>
        </w:rPr>
        <w:t>hasta el 30 de setiembre</w:t>
      </w:r>
      <w:r w:rsidRPr="00AB2FB1">
        <w:rPr>
          <w:rFonts w:ascii="Arial" w:eastAsiaTheme="minorHAnsi" w:hAnsi="Arial" w:cs="Arial"/>
          <w:lang w:eastAsia="en-US"/>
        </w:rPr>
        <w:t xml:space="preserve">, </w:t>
      </w:r>
      <w:r w:rsidR="00790F1B" w:rsidRPr="00AB2FB1">
        <w:rPr>
          <w:rFonts w:ascii="Arial" w:eastAsiaTheme="minorHAnsi" w:hAnsi="Arial" w:cs="Arial"/>
          <w:lang w:eastAsia="en-US"/>
        </w:rPr>
        <w:t>con</w:t>
      </w:r>
      <w:r w:rsidRPr="00AB2FB1">
        <w:rPr>
          <w:rFonts w:ascii="Arial" w:eastAsiaTheme="minorHAnsi" w:hAnsi="Arial" w:cs="Arial"/>
          <w:lang w:eastAsia="en-US"/>
        </w:rPr>
        <w:t xml:space="preserve"> un total de 1122 contratos</w:t>
      </w:r>
      <w:r w:rsidR="00790F1B" w:rsidRPr="00AB2FB1">
        <w:rPr>
          <w:rFonts w:ascii="Arial" w:eastAsiaTheme="minorHAnsi" w:hAnsi="Arial" w:cs="Arial"/>
          <w:lang w:eastAsia="en-US"/>
        </w:rPr>
        <w:t>.</w:t>
      </w:r>
    </w:p>
    <w:p w14:paraId="386AF0A0" w14:textId="77777777" w:rsidR="001C3A77" w:rsidRDefault="001C3A77" w:rsidP="00525C75">
      <w:pPr>
        <w:pStyle w:val="NormalWeb"/>
        <w:spacing w:before="0" w:beforeAutospacing="0" w:after="0" w:afterAutospacing="0"/>
        <w:jc w:val="both"/>
        <w:rPr>
          <w:rFonts w:ascii="Arial" w:eastAsiaTheme="minorHAnsi" w:hAnsi="Arial" w:cs="Arial"/>
          <w:lang w:eastAsia="en-US"/>
        </w:rPr>
      </w:pPr>
    </w:p>
    <w:p w14:paraId="27556D44" w14:textId="0F026C1A" w:rsidR="00E0645A" w:rsidRDefault="001C3A77" w:rsidP="00525C75">
      <w:pPr>
        <w:pStyle w:val="NormalWeb"/>
        <w:spacing w:before="0" w:beforeAutospacing="0" w:after="0" w:afterAutospacing="0"/>
        <w:jc w:val="both"/>
        <w:rPr>
          <w:rFonts w:ascii="Arial" w:eastAsiaTheme="minorHAnsi" w:hAnsi="Arial" w:cs="Arial"/>
          <w:lang w:eastAsia="en-US"/>
        </w:rPr>
      </w:pPr>
      <w:r w:rsidRPr="001C3A77">
        <w:rPr>
          <w:rFonts w:ascii="Arial" w:eastAsiaTheme="minorHAnsi" w:hAnsi="Arial" w:cs="Arial"/>
          <w:lang w:eastAsia="en-US"/>
        </w:rPr>
        <w:t>A raíz de la implementación del nuevo Departamento de Desarrollo Comunitario, establecido como resultado de la reestructuración del organigrama institucional,</w:t>
      </w:r>
      <w:r>
        <w:rPr>
          <w:rFonts w:ascii="Arial" w:eastAsiaTheme="minorHAnsi" w:hAnsi="Arial" w:cs="Arial"/>
          <w:lang w:eastAsia="en-US"/>
        </w:rPr>
        <w:t xml:space="preserve"> </w:t>
      </w:r>
      <w:r w:rsidRPr="001C3A77">
        <w:rPr>
          <w:rFonts w:ascii="Arial" w:eastAsiaTheme="minorHAnsi" w:hAnsi="Arial" w:cs="Arial"/>
          <w:lang w:eastAsia="en-US"/>
        </w:rPr>
        <w:t xml:space="preserve">se llevaron a cabo diversas acciones orientadas al fortalecimiento de la </w:t>
      </w:r>
      <w:r w:rsidRPr="001C3A77">
        <w:rPr>
          <w:rFonts w:ascii="Arial" w:eastAsiaTheme="minorHAnsi" w:hAnsi="Arial" w:cs="Arial"/>
          <w:lang w:eastAsia="en-US"/>
        </w:rPr>
        <w:lastRenderedPageBreak/>
        <w:t xml:space="preserve">organización </w:t>
      </w:r>
      <w:r>
        <w:rPr>
          <w:rFonts w:ascii="Arial" w:eastAsiaTheme="minorHAnsi" w:hAnsi="Arial" w:cs="Arial"/>
          <w:lang w:eastAsia="en-US"/>
        </w:rPr>
        <w:t xml:space="preserve">comunitaria. </w:t>
      </w:r>
      <w:r w:rsidRPr="001C3A77">
        <w:rPr>
          <w:rFonts w:ascii="Arial" w:eastAsiaTheme="minorHAnsi" w:hAnsi="Arial" w:cs="Arial"/>
          <w:lang w:eastAsia="en-US"/>
        </w:rPr>
        <w:t xml:space="preserve">En este sentido, se realizaron dos reuniones con autoridades municipales, dos visitas de campo y dos encuentros en oficina, con el propósito de socializar el reglamento del Programa ante las comisiones vecinales. Además, se llevaron a cabo cuatro visitas comunitarias orientadas al diagnóstico participativo, con el objetivo de acompañar y fortalecer los procesos de organización </w:t>
      </w:r>
      <w:r>
        <w:rPr>
          <w:rFonts w:ascii="Arial" w:eastAsiaTheme="minorHAnsi" w:hAnsi="Arial" w:cs="Arial"/>
          <w:lang w:eastAsia="en-US"/>
        </w:rPr>
        <w:t>territorial</w:t>
      </w:r>
      <w:r w:rsidRPr="001C3A77">
        <w:rPr>
          <w:rFonts w:ascii="Arial" w:eastAsiaTheme="minorHAnsi" w:hAnsi="Arial" w:cs="Arial"/>
          <w:lang w:eastAsia="en-US"/>
        </w:rPr>
        <w:t xml:space="preserve"> y participación ciudadana.</w:t>
      </w:r>
    </w:p>
    <w:p w14:paraId="3DA09130" w14:textId="53EEB6ED" w:rsidR="001C3A77" w:rsidRDefault="001C3A77" w:rsidP="00525C75">
      <w:pPr>
        <w:pStyle w:val="NormalWeb"/>
        <w:spacing w:before="0" w:beforeAutospacing="0" w:after="0" w:afterAutospacing="0"/>
        <w:jc w:val="both"/>
        <w:rPr>
          <w:rFonts w:ascii="Arial" w:eastAsiaTheme="minorHAnsi" w:hAnsi="Arial" w:cs="Arial"/>
          <w:lang w:eastAsia="en-US"/>
        </w:rPr>
      </w:pPr>
    </w:p>
    <w:p w14:paraId="2D91ED81" w14:textId="66214C17" w:rsidR="000F595A" w:rsidRDefault="000F595A" w:rsidP="00525C75">
      <w:pPr>
        <w:pStyle w:val="NormalWeb"/>
        <w:spacing w:before="0" w:beforeAutospacing="0" w:after="0" w:afterAutospacing="0"/>
        <w:jc w:val="center"/>
        <w:rPr>
          <w:rFonts w:ascii="Arial" w:hAnsi="Arial" w:cs="Arial"/>
          <w:b/>
          <w:bCs/>
        </w:rPr>
      </w:pPr>
      <w:r w:rsidRPr="00D72E80">
        <w:rPr>
          <w:rFonts w:ascii="Arial" w:hAnsi="Arial" w:cs="Arial"/>
          <w:b/>
          <w:bCs/>
        </w:rPr>
        <w:t>PROGRAMA DE ASISTENCIA A PESCADORES DEL TERRITORIO NACIONAL (PROAP - TN)</w:t>
      </w:r>
      <w:r w:rsidR="008340A0" w:rsidRPr="00E74964">
        <w:rPr>
          <w:rStyle w:val="Refdenotaalpie"/>
          <w:rFonts w:ascii="Arial" w:hAnsi="Arial" w:cs="Arial"/>
          <w:b/>
          <w:bCs/>
        </w:rPr>
        <w:footnoteReference w:id="4"/>
      </w:r>
    </w:p>
    <w:p w14:paraId="0B44B774" w14:textId="77777777" w:rsidR="0038146E" w:rsidRDefault="0038146E" w:rsidP="00525C75">
      <w:pPr>
        <w:pStyle w:val="NormalWeb"/>
        <w:spacing w:before="0" w:beforeAutospacing="0" w:after="0" w:afterAutospacing="0"/>
        <w:jc w:val="both"/>
        <w:rPr>
          <w:rFonts w:ascii="Arial" w:eastAsiaTheme="minorHAnsi" w:hAnsi="Arial" w:cs="Arial"/>
          <w:lang w:eastAsia="en-US"/>
        </w:rPr>
      </w:pPr>
    </w:p>
    <w:p w14:paraId="6DFC3E5D" w14:textId="554676B4" w:rsidR="00A810D8" w:rsidRPr="00A26B8B" w:rsidRDefault="00A26B8B" w:rsidP="00525C75">
      <w:pPr>
        <w:pStyle w:val="NormalWeb"/>
        <w:spacing w:before="0" w:beforeAutospacing="0" w:after="0" w:afterAutospacing="0"/>
        <w:jc w:val="both"/>
        <w:rPr>
          <w:rFonts w:ascii="Arial" w:eastAsiaTheme="minorHAnsi" w:hAnsi="Arial" w:cs="Arial"/>
          <w:lang w:eastAsia="en-US"/>
        </w:rPr>
      </w:pPr>
      <w:r w:rsidRPr="00A26B8B">
        <w:rPr>
          <w:rFonts w:ascii="Arial" w:eastAsiaTheme="minorHAnsi" w:hAnsi="Arial" w:cs="Arial"/>
          <w:lang w:eastAsia="en-US"/>
        </w:rPr>
        <w:t xml:space="preserve">En el marco </w:t>
      </w:r>
      <w:r w:rsidR="00A810D8" w:rsidRPr="0067080D">
        <w:rPr>
          <w:rFonts w:ascii="Arial" w:eastAsiaTheme="minorHAnsi" w:hAnsi="Arial" w:cs="Arial"/>
          <w:lang w:eastAsia="en-US"/>
        </w:rPr>
        <w:t xml:space="preserve">de lo establecido por el </w:t>
      </w:r>
      <w:r w:rsidRPr="00A26B8B">
        <w:rPr>
          <w:rFonts w:ascii="Arial" w:eastAsiaTheme="minorHAnsi" w:hAnsi="Arial" w:cs="Arial"/>
          <w:lang w:eastAsia="en-US"/>
        </w:rPr>
        <w:t xml:space="preserve">Decreto </w:t>
      </w:r>
      <w:r>
        <w:rPr>
          <w:rFonts w:ascii="Arial" w:eastAsiaTheme="minorHAnsi" w:hAnsi="Arial" w:cs="Arial"/>
          <w:lang w:eastAsia="en-US"/>
        </w:rPr>
        <w:t xml:space="preserve">N° </w:t>
      </w:r>
      <w:r w:rsidRPr="00A26B8B">
        <w:rPr>
          <w:rFonts w:ascii="Arial" w:eastAsiaTheme="minorHAnsi" w:hAnsi="Arial" w:cs="Arial"/>
          <w:lang w:eastAsia="en-US"/>
        </w:rPr>
        <w:t xml:space="preserve">2319/2014 y el Decreto N° 6619/2016, </w:t>
      </w:r>
      <w:r w:rsidR="00A810D8" w:rsidRPr="0067080D">
        <w:rPr>
          <w:rFonts w:ascii="Arial" w:eastAsiaTheme="minorHAnsi" w:hAnsi="Arial" w:cs="Arial"/>
          <w:lang w:eastAsia="en-US"/>
        </w:rPr>
        <w:t>que facultan al Ministerio de Desarrollo Social, a través del Programa de Asistencia a Pescadores del Territorio Nacional</w:t>
      </w:r>
      <w:r w:rsidRPr="00A26B8B">
        <w:rPr>
          <w:rFonts w:ascii="Arial" w:eastAsiaTheme="minorHAnsi" w:hAnsi="Arial" w:cs="Arial"/>
          <w:lang w:eastAsia="en-US"/>
        </w:rPr>
        <w:t>, asistir en época de veda, a los pescadores comerciales que tienen como única actividad generadora de ingresos “la pesca”</w:t>
      </w:r>
      <w:r>
        <w:rPr>
          <w:rFonts w:ascii="Arial" w:eastAsiaTheme="minorHAnsi" w:hAnsi="Arial" w:cs="Arial"/>
          <w:lang w:eastAsia="en-US"/>
        </w:rPr>
        <w:t xml:space="preserve">, </w:t>
      </w:r>
      <w:r w:rsidR="00A810D8" w:rsidRPr="0067080D">
        <w:rPr>
          <w:rFonts w:ascii="Arial" w:eastAsiaTheme="minorHAnsi" w:hAnsi="Arial" w:cs="Arial"/>
          <w:lang w:eastAsia="en-US"/>
        </w:rPr>
        <w:t>las acciones desarrolladas durante el tercer trimestre del presente año se enmarcan en lo siguiente:</w:t>
      </w:r>
    </w:p>
    <w:p w14:paraId="3DB5566A" w14:textId="0B080E62" w:rsidR="000D3437" w:rsidRPr="000D3437" w:rsidRDefault="00A810D8" w:rsidP="00525C75">
      <w:pPr>
        <w:pStyle w:val="NormalWeb"/>
        <w:spacing w:after="0" w:afterAutospacing="0"/>
        <w:jc w:val="both"/>
        <w:rPr>
          <w:rFonts w:ascii="Arial" w:eastAsiaTheme="minorHAnsi" w:hAnsi="Arial" w:cs="Arial"/>
          <w:lang w:eastAsia="en-US"/>
        </w:rPr>
      </w:pPr>
      <w:r>
        <w:rPr>
          <w:rFonts w:ascii="Arial" w:eastAsiaTheme="minorHAnsi" w:hAnsi="Arial" w:cs="Arial"/>
          <w:lang w:eastAsia="en-US"/>
        </w:rPr>
        <w:t>En procedimiento de t</w:t>
      </w:r>
      <w:r w:rsidR="00A26B8B">
        <w:rPr>
          <w:rFonts w:ascii="Arial" w:eastAsiaTheme="minorHAnsi" w:hAnsi="Arial" w:cs="Arial"/>
          <w:lang w:eastAsia="en-US"/>
        </w:rPr>
        <w:t>rabajos de campo, se llevaron a cabo</w:t>
      </w:r>
      <w:r w:rsidR="000D3437" w:rsidRPr="000D3437">
        <w:rPr>
          <w:rFonts w:ascii="Arial" w:eastAsiaTheme="minorHAnsi" w:hAnsi="Arial" w:cs="Arial"/>
          <w:lang w:eastAsia="en-US"/>
        </w:rPr>
        <w:t xml:space="preserve"> reuniones con presidentes de asociaciones de pescadores, con el objetivo de analizar la lista de beneficiarios, identificar a las personas que requieren visita y censo, así como mapear la ubicación de los hogares a ser visitados. En este marco, se aplicaron el Registro Social de Hogares y el Acta de Trabajo de Campo en los departamentos de Central y Ñeembucú.</w:t>
      </w:r>
    </w:p>
    <w:p w14:paraId="35E2CDAE" w14:textId="77777777" w:rsidR="000D3437" w:rsidRPr="000D3437" w:rsidRDefault="000D3437" w:rsidP="00525C75">
      <w:pPr>
        <w:pStyle w:val="NormalWeb"/>
        <w:spacing w:after="0" w:afterAutospacing="0"/>
        <w:jc w:val="both"/>
        <w:rPr>
          <w:rFonts w:ascii="Arial" w:eastAsiaTheme="minorHAnsi" w:hAnsi="Arial" w:cs="Arial"/>
          <w:lang w:eastAsia="en-US"/>
        </w:rPr>
      </w:pPr>
      <w:r w:rsidRPr="000D3437">
        <w:rPr>
          <w:rFonts w:ascii="Arial" w:eastAsiaTheme="minorHAnsi" w:hAnsi="Arial" w:cs="Arial"/>
          <w:lang w:eastAsia="en-US"/>
        </w:rPr>
        <w:t>Asimismo, se mantuvieron reuniones de trabajo con la Dirección General de Fortalecimiento Institucional, a fin de realizar revisiones y ajustes a los registros aplicables y a la matriz de procedimientos.</w:t>
      </w:r>
    </w:p>
    <w:p w14:paraId="71E11CFF" w14:textId="57342016" w:rsidR="000D3437" w:rsidRPr="000D3437" w:rsidRDefault="00A810D8" w:rsidP="00525C75">
      <w:pPr>
        <w:pStyle w:val="NormalWeb"/>
        <w:spacing w:after="0" w:afterAutospacing="0"/>
        <w:jc w:val="both"/>
        <w:rPr>
          <w:rFonts w:ascii="Arial" w:eastAsiaTheme="minorHAnsi" w:hAnsi="Arial" w:cs="Arial"/>
          <w:lang w:eastAsia="en-US"/>
        </w:rPr>
      </w:pPr>
      <w:r>
        <w:rPr>
          <w:rFonts w:ascii="Arial" w:eastAsiaTheme="minorHAnsi" w:hAnsi="Arial" w:cs="Arial"/>
          <w:lang w:eastAsia="en-US"/>
        </w:rPr>
        <w:t>S</w:t>
      </w:r>
      <w:r w:rsidR="000D3437" w:rsidRPr="000D3437">
        <w:rPr>
          <w:rFonts w:ascii="Arial" w:eastAsiaTheme="minorHAnsi" w:hAnsi="Arial" w:cs="Arial"/>
          <w:lang w:eastAsia="en-US"/>
        </w:rPr>
        <w:t xml:space="preserve">e continuó con la implementación del Plan Piloto de Capacitación, Comercialización, </w:t>
      </w:r>
      <w:proofErr w:type="spellStart"/>
      <w:r w:rsidR="000D3437" w:rsidRPr="000D3437">
        <w:rPr>
          <w:rFonts w:ascii="Arial" w:eastAsiaTheme="minorHAnsi" w:hAnsi="Arial" w:cs="Arial"/>
          <w:lang w:eastAsia="en-US"/>
        </w:rPr>
        <w:t>Emprendedurismo</w:t>
      </w:r>
      <w:proofErr w:type="spellEnd"/>
      <w:r w:rsidR="000D3437" w:rsidRPr="000D3437">
        <w:rPr>
          <w:rFonts w:ascii="Arial" w:eastAsiaTheme="minorHAnsi" w:hAnsi="Arial" w:cs="Arial"/>
          <w:lang w:eastAsia="en-US"/>
        </w:rPr>
        <w:t xml:space="preserve"> y Formalización, iniciado en 2024 con la Asociación de Pescadores Profesionales Unidos de San Antonio. Además, se iniciaron gestiones para ampliar esta experiencia a otras asociaciones de pescadores de los departamentos de Central y Capital.</w:t>
      </w:r>
    </w:p>
    <w:p w14:paraId="08759820" w14:textId="77777777" w:rsidR="0038146E" w:rsidRDefault="0038146E" w:rsidP="00525C75">
      <w:pPr>
        <w:autoSpaceDE w:val="0"/>
        <w:autoSpaceDN w:val="0"/>
        <w:adjustRightInd w:val="0"/>
        <w:spacing w:after="0" w:line="240" w:lineRule="auto"/>
        <w:ind w:right="-227"/>
        <w:jc w:val="both"/>
        <w:rPr>
          <w:rFonts w:ascii="Arial" w:hAnsi="Arial" w:cs="Arial"/>
          <w:sz w:val="24"/>
          <w:szCs w:val="24"/>
        </w:rPr>
      </w:pPr>
    </w:p>
    <w:p w14:paraId="38A69D05" w14:textId="663E8B5F" w:rsidR="00A810D8" w:rsidRPr="00A810D8" w:rsidRDefault="00A810D8" w:rsidP="0038146E">
      <w:pPr>
        <w:autoSpaceDE w:val="0"/>
        <w:autoSpaceDN w:val="0"/>
        <w:adjustRightInd w:val="0"/>
        <w:spacing w:after="0" w:line="240" w:lineRule="auto"/>
        <w:ind w:right="-1"/>
        <w:jc w:val="both"/>
        <w:rPr>
          <w:rFonts w:ascii="Arial" w:hAnsi="Arial" w:cs="Arial"/>
          <w:sz w:val="24"/>
          <w:szCs w:val="24"/>
        </w:rPr>
      </w:pPr>
      <w:r>
        <w:rPr>
          <w:rFonts w:ascii="Arial" w:hAnsi="Arial" w:cs="Arial"/>
          <w:sz w:val="24"/>
          <w:szCs w:val="24"/>
        </w:rPr>
        <w:t xml:space="preserve">Desde </w:t>
      </w:r>
      <w:r w:rsidR="000D3437" w:rsidRPr="00A810D8">
        <w:rPr>
          <w:rFonts w:ascii="Arial" w:hAnsi="Arial" w:cs="Arial"/>
          <w:sz w:val="24"/>
          <w:szCs w:val="24"/>
        </w:rPr>
        <w:t>la Dirección, se realizaron diversos trámites ante instituciones del Estado, incluyendo: 1</w:t>
      </w:r>
      <w:r w:rsidRPr="00A810D8">
        <w:rPr>
          <w:rFonts w:ascii="Arial" w:hAnsi="Arial" w:cs="Arial"/>
          <w:sz w:val="24"/>
          <w:szCs w:val="24"/>
        </w:rPr>
        <w:t xml:space="preserve"> 1) ante diferentes instituciones del Estado, para el cruzamiento de la Lista de Pescadores 2025 – MADES; 2) acompañamiento a dirigentes de los gremios de pescadores, en la reunión con el representante de la Bicameral de Presupuesto, para tratar el aumento de presupuesto del Programa; 3) reunión con directores del MADES para tratar temas de interés del Programa.</w:t>
      </w:r>
    </w:p>
    <w:p w14:paraId="362A5C0C" w14:textId="72D1124A" w:rsidR="00A810D8" w:rsidRPr="00A810D8" w:rsidRDefault="00A810D8" w:rsidP="00525C75">
      <w:pPr>
        <w:pStyle w:val="NormalWeb"/>
        <w:spacing w:after="0" w:afterAutospacing="0"/>
        <w:jc w:val="both"/>
        <w:rPr>
          <w:rFonts w:ascii="Arial" w:eastAsiaTheme="minorHAnsi" w:hAnsi="Arial" w:cs="Arial"/>
          <w:lang w:eastAsia="en-US"/>
        </w:rPr>
      </w:pPr>
      <w:r w:rsidRPr="00A810D8">
        <w:rPr>
          <w:rFonts w:ascii="Arial" w:eastAsiaTheme="minorHAnsi" w:hAnsi="Arial" w:cs="Arial"/>
          <w:lang w:eastAsia="en-US"/>
        </w:rPr>
        <w:t>EL programa cuenta con desafíos para el siguiente trimestre, donde prevé contar en tiempo y forma con los resultados del cruzamiento de la Lista de Pescadores 2025 con las bases de datos de diversas instituciones del Estado, así como con los recursos financieros requeridos para el pago del subsidio correspondiente al período de veda pesquera 2025.</w:t>
      </w:r>
    </w:p>
    <w:p w14:paraId="6B7773A6" w14:textId="03BDD765" w:rsidR="00525C75" w:rsidRPr="00A810D8" w:rsidRDefault="00A810D8" w:rsidP="00525C75">
      <w:pPr>
        <w:pStyle w:val="NormalWeb"/>
        <w:spacing w:after="0" w:afterAutospacing="0"/>
        <w:jc w:val="both"/>
        <w:rPr>
          <w:rFonts w:ascii="Arial" w:eastAsiaTheme="minorHAnsi" w:hAnsi="Arial" w:cs="Arial"/>
          <w:lang w:eastAsia="en-US"/>
        </w:rPr>
      </w:pPr>
      <w:r w:rsidRPr="00A810D8">
        <w:rPr>
          <w:rFonts w:ascii="Arial" w:eastAsiaTheme="minorHAnsi" w:hAnsi="Arial" w:cs="Arial"/>
          <w:lang w:eastAsia="en-US"/>
        </w:rPr>
        <w:lastRenderedPageBreak/>
        <w:t xml:space="preserve">Finalmente, se continuará avanzando con la implementación del Plan Piloto de Capacitación, Comercialización, </w:t>
      </w:r>
      <w:proofErr w:type="spellStart"/>
      <w:r w:rsidRPr="00A810D8">
        <w:rPr>
          <w:rFonts w:ascii="Arial" w:eastAsiaTheme="minorHAnsi" w:hAnsi="Arial" w:cs="Arial"/>
          <w:lang w:eastAsia="en-US"/>
        </w:rPr>
        <w:t>Emprendedurismo</w:t>
      </w:r>
      <w:proofErr w:type="spellEnd"/>
      <w:r w:rsidRPr="00A810D8">
        <w:rPr>
          <w:rFonts w:ascii="Arial" w:eastAsiaTheme="minorHAnsi" w:hAnsi="Arial" w:cs="Arial"/>
          <w:lang w:eastAsia="en-US"/>
        </w:rPr>
        <w:t xml:space="preserve"> y Formalización, ampliando su alcance a más asociaciones de pescadores de los departamentos de Central y Capital.</w:t>
      </w:r>
    </w:p>
    <w:p w14:paraId="7B0F126D" w14:textId="77777777" w:rsidR="000F595A" w:rsidRDefault="000F595A" w:rsidP="00525C75">
      <w:pPr>
        <w:spacing w:after="0" w:line="240" w:lineRule="auto"/>
        <w:jc w:val="both"/>
        <w:rPr>
          <w:rFonts w:ascii="Arial" w:hAnsi="Arial" w:cs="Arial"/>
          <w:b/>
          <w:bCs/>
          <w:sz w:val="24"/>
          <w:szCs w:val="24"/>
        </w:rPr>
      </w:pPr>
    </w:p>
    <w:p w14:paraId="4E1A37F1" w14:textId="0DA9B4F8" w:rsidR="000F595A" w:rsidRPr="00D72E80" w:rsidRDefault="000F595A" w:rsidP="00525C75">
      <w:pPr>
        <w:spacing w:after="0" w:line="240" w:lineRule="auto"/>
        <w:jc w:val="center"/>
        <w:rPr>
          <w:rFonts w:ascii="Arial" w:hAnsi="Arial" w:cs="Arial"/>
          <w:b/>
          <w:bCs/>
          <w:sz w:val="24"/>
          <w:szCs w:val="24"/>
        </w:rPr>
      </w:pPr>
      <w:r w:rsidRPr="00D72E80">
        <w:rPr>
          <w:rFonts w:ascii="Arial" w:hAnsi="Arial" w:cs="Arial"/>
          <w:b/>
          <w:bCs/>
          <w:sz w:val="24"/>
          <w:szCs w:val="24"/>
        </w:rPr>
        <w:t>PROGRAMA COMEDORES Y CENTROS COMUNITARIOS</w:t>
      </w:r>
      <w:r w:rsidR="00A810D8">
        <w:rPr>
          <w:rStyle w:val="Refdenotaalpie"/>
          <w:rFonts w:ascii="Arial" w:hAnsi="Arial" w:cs="Arial"/>
          <w:b/>
          <w:bCs/>
          <w:sz w:val="24"/>
          <w:szCs w:val="24"/>
        </w:rPr>
        <w:footnoteReference w:id="5"/>
      </w:r>
    </w:p>
    <w:p w14:paraId="00B32E9A" w14:textId="77777777" w:rsidR="0038146E" w:rsidRDefault="0038146E" w:rsidP="00525C75">
      <w:pPr>
        <w:spacing w:after="0" w:line="240" w:lineRule="auto"/>
        <w:jc w:val="both"/>
        <w:rPr>
          <w:rFonts w:ascii="Arial" w:eastAsia="Times New Roman" w:hAnsi="Arial" w:cs="Arial"/>
          <w:sz w:val="24"/>
          <w:szCs w:val="24"/>
          <w:lang w:eastAsia="es-MX"/>
        </w:rPr>
      </w:pPr>
    </w:p>
    <w:p w14:paraId="08D68EA4" w14:textId="39D37819" w:rsidR="002A1236" w:rsidRPr="006C6D8B" w:rsidRDefault="002A1236" w:rsidP="00525C75">
      <w:pPr>
        <w:spacing w:after="0" w:line="240" w:lineRule="auto"/>
        <w:jc w:val="both"/>
        <w:rPr>
          <w:rFonts w:ascii="Arial" w:eastAsia="Times New Roman" w:hAnsi="Arial" w:cs="Arial"/>
          <w:sz w:val="24"/>
          <w:szCs w:val="24"/>
          <w:lang w:eastAsia="es-MX"/>
        </w:rPr>
      </w:pPr>
      <w:r w:rsidRPr="006C6D8B">
        <w:rPr>
          <w:rFonts w:ascii="Arial" w:eastAsia="Times New Roman" w:hAnsi="Arial" w:cs="Arial"/>
          <w:sz w:val="24"/>
          <w:szCs w:val="24"/>
          <w:lang w:eastAsia="es-MX"/>
        </w:rPr>
        <w:t>En el marco de la Ley N.º 6.945/2022, el programa “Comedores y Centros Comunitarios” tiene como finalidad fortalecer la seguridad alimentaria de sectores en situación de vulnerabilidad, mediante la provisión de insumos para la preparación de alimentos, la dotación de equipamiento y el apoyo a la consolidación de capacidades organizativas en centros comunitarios.</w:t>
      </w:r>
    </w:p>
    <w:p w14:paraId="2A2AEA51" w14:textId="77777777" w:rsidR="002A1236" w:rsidRPr="006C6D8B" w:rsidRDefault="002A1236" w:rsidP="00525C75">
      <w:pPr>
        <w:spacing w:after="0" w:line="240" w:lineRule="auto"/>
        <w:jc w:val="both"/>
        <w:rPr>
          <w:rFonts w:ascii="Arial" w:eastAsia="Times New Roman" w:hAnsi="Arial" w:cs="Arial"/>
          <w:kern w:val="2"/>
          <w:sz w:val="24"/>
          <w:szCs w:val="24"/>
          <w:lang w:val="es-ES"/>
        </w:rPr>
      </w:pPr>
    </w:p>
    <w:p w14:paraId="4B6BFCDE" w14:textId="77777777" w:rsidR="002A1236" w:rsidRPr="006C6D8B" w:rsidRDefault="002A1236" w:rsidP="00525C75">
      <w:pPr>
        <w:spacing w:after="0" w:line="240" w:lineRule="auto"/>
        <w:jc w:val="both"/>
        <w:rPr>
          <w:rFonts w:ascii="Arial" w:eastAsia="Times New Roman" w:hAnsi="Arial" w:cs="Arial"/>
          <w:kern w:val="2"/>
          <w:sz w:val="24"/>
          <w:szCs w:val="24"/>
          <w:lang w:val="es-ES"/>
        </w:rPr>
      </w:pPr>
      <w:r w:rsidRPr="006C6D8B">
        <w:rPr>
          <w:rFonts w:ascii="Arial" w:eastAsia="Times New Roman" w:hAnsi="Arial" w:cs="Arial"/>
          <w:kern w:val="2"/>
          <w:sz w:val="24"/>
          <w:szCs w:val="24"/>
          <w:lang w:val="es-ES"/>
        </w:rPr>
        <w:t>Durante el tercer trimestre de 2025, se registraron avances significativos en la implementación de sus acciones, destacándose los siguientes resultados:</w:t>
      </w:r>
    </w:p>
    <w:p w14:paraId="08D0A984" w14:textId="77777777" w:rsidR="002A1236" w:rsidRPr="006C6D8B" w:rsidRDefault="002A1236" w:rsidP="00525C75">
      <w:pPr>
        <w:spacing w:after="0" w:line="240" w:lineRule="auto"/>
        <w:jc w:val="both"/>
        <w:rPr>
          <w:rFonts w:ascii="Arial" w:eastAsia="Times New Roman" w:hAnsi="Arial" w:cs="Arial"/>
          <w:kern w:val="2"/>
          <w:sz w:val="24"/>
          <w:szCs w:val="24"/>
          <w:lang w:val="es-ES"/>
        </w:rPr>
      </w:pPr>
    </w:p>
    <w:p w14:paraId="4803F0C3" w14:textId="77777777" w:rsidR="002A1236" w:rsidRPr="006C6D8B" w:rsidRDefault="002A1236" w:rsidP="00525C75">
      <w:pPr>
        <w:spacing w:after="0" w:line="240" w:lineRule="auto"/>
        <w:jc w:val="both"/>
        <w:rPr>
          <w:rFonts w:ascii="Arial" w:eastAsia="Times New Roman" w:hAnsi="Arial" w:cs="Arial"/>
          <w:kern w:val="2"/>
          <w:sz w:val="24"/>
          <w:szCs w:val="24"/>
          <w:lang w:val="es-ES"/>
        </w:rPr>
      </w:pPr>
      <w:r w:rsidRPr="006C6D8B">
        <w:rPr>
          <w:rFonts w:ascii="Arial" w:eastAsia="Times New Roman" w:hAnsi="Arial" w:cs="Arial"/>
          <w:kern w:val="2"/>
          <w:sz w:val="24"/>
          <w:szCs w:val="24"/>
          <w:lang w:val="es-ES"/>
        </w:rPr>
        <w:t>Se concretó con éxito la primera entrega de insumos a 327 comedores, beneficiando a un total de 20.875 personas, entre ellas 11.045 mujeres y 9.830 varones registrados, así como grupos mixtos que incluyen niñas, niños, adolescentes, personas adultas mayores e integrantes de pueblos indígenas.</w:t>
      </w:r>
    </w:p>
    <w:p w14:paraId="5A385170" w14:textId="77777777" w:rsidR="002A1236" w:rsidRPr="006C6D8B" w:rsidRDefault="002A1236" w:rsidP="00525C75">
      <w:pPr>
        <w:spacing w:after="0" w:line="240" w:lineRule="auto"/>
        <w:jc w:val="both"/>
        <w:rPr>
          <w:rFonts w:ascii="Arial" w:eastAsia="Times New Roman" w:hAnsi="Arial" w:cs="Arial"/>
          <w:kern w:val="2"/>
          <w:sz w:val="24"/>
          <w:szCs w:val="24"/>
          <w:lang w:val="es-ES"/>
        </w:rPr>
      </w:pPr>
    </w:p>
    <w:p w14:paraId="3D992568" w14:textId="77777777" w:rsidR="002A1236" w:rsidRPr="006C6D8B" w:rsidRDefault="002A1236" w:rsidP="00525C75">
      <w:pPr>
        <w:spacing w:after="0" w:line="240" w:lineRule="auto"/>
        <w:jc w:val="both"/>
        <w:rPr>
          <w:rFonts w:ascii="Arial" w:eastAsia="Times New Roman" w:hAnsi="Arial" w:cs="Arial"/>
          <w:kern w:val="2"/>
          <w:sz w:val="24"/>
          <w:szCs w:val="24"/>
          <w:lang w:val="es-ES"/>
        </w:rPr>
      </w:pPr>
      <w:r w:rsidRPr="006C6D8B">
        <w:rPr>
          <w:rFonts w:ascii="Arial" w:eastAsia="Times New Roman" w:hAnsi="Arial" w:cs="Arial"/>
          <w:kern w:val="2"/>
          <w:sz w:val="24"/>
          <w:szCs w:val="24"/>
          <w:lang w:val="es-ES"/>
        </w:rPr>
        <w:t>Se amplió la cobertura territorial hacia la Región Occidental, alcanzando zonas de difícil acceso en los departamentos de Boquerón y Alto Paraguay.</w:t>
      </w:r>
    </w:p>
    <w:p w14:paraId="373CD9F4" w14:textId="77777777" w:rsidR="002A1236" w:rsidRPr="006C6D8B" w:rsidRDefault="002A1236" w:rsidP="00525C75">
      <w:pPr>
        <w:spacing w:after="0" w:line="240" w:lineRule="auto"/>
        <w:jc w:val="both"/>
        <w:rPr>
          <w:rFonts w:ascii="Arial" w:eastAsia="Times New Roman" w:hAnsi="Arial" w:cs="Arial"/>
          <w:kern w:val="2"/>
          <w:sz w:val="24"/>
          <w:szCs w:val="24"/>
          <w:lang w:val="es-ES"/>
        </w:rPr>
      </w:pPr>
    </w:p>
    <w:p w14:paraId="348230F2" w14:textId="77777777" w:rsidR="002A1236" w:rsidRPr="006C6D8B" w:rsidRDefault="002A1236" w:rsidP="00525C75">
      <w:pPr>
        <w:spacing w:after="0" w:line="240" w:lineRule="auto"/>
        <w:jc w:val="both"/>
        <w:rPr>
          <w:rFonts w:ascii="Arial" w:eastAsia="Times New Roman" w:hAnsi="Arial" w:cs="Arial"/>
          <w:kern w:val="2"/>
          <w:sz w:val="24"/>
          <w:szCs w:val="24"/>
          <w:lang w:val="es-ES"/>
        </w:rPr>
      </w:pPr>
      <w:r w:rsidRPr="006C6D8B">
        <w:rPr>
          <w:rFonts w:ascii="Arial" w:eastAsia="Times New Roman" w:hAnsi="Arial" w:cs="Arial"/>
          <w:kern w:val="2"/>
          <w:sz w:val="24"/>
          <w:szCs w:val="24"/>
          <w:lang w:val="es-ES"/>
        </w:rPr>
        <w:t>En total, se distribuyeron 212.651 kilogramos de alimentos no perecederos a las organizaciones beneficiarias, fortaleciendo la presencia institucional en comunidades históricamente relegadas.</w:t>
      </w:r>
    </w:p>
    <w:p w14:paraId="35DF2B2C" w14:textId="4A766839" w:rsidR="00194C25" w:rsidRDefault="00194C25" w:rsidP="00525C75">
      <w:pPr>
        <w:spacing w:after="0" w:line="240" w:lineRule="auto"/>
        <w:jc w:val="both"/>
        <w:rPr>
          <w:rFonts w:ascii="Arial" w:eastAsia="Times New Roman" w:hAnsi="Arial" w:cs="Arial"/>
          <w:b/>
          <w:bCs/>
          <w:kern w:val="2"/>
          <w:sz w:val="24"/>
          <w:szCs w:val="24"/>
          <w:lang w:val="es-ES"/>
        </w:rPr>
      </w:pPr>
    </w:p>
    <w:p w14:paraId="1D8A64FB" w14:textId="77777777" w:rsidR="000F595A" w:rsidRDefault="000F595A" w:rsidP="00525C75">
      <w:pPr>
        <w:spacing w:after="0" w:line="240" w:lineRule="auto"/>
        <w:jc w:val="both"/>
        <w:rPr>
          <w:rFonts w:ascii="Arial" w:eastAsia="Times New Roman" w:hAnsi="Arial" w:cs="Arial"/>
          <w:kern w:val="2"/>
          <w:sz w:val="24"/>
          <w:szCs w:val="24"/>
          <w:lang w:val="es-ES"/>
        </w:rPr>
      </w:pPr>
    </w:p>
    <w:p w14:paraId="41724FFF" w14:textId="20F86822" w:rsidR="000F595A" w:rsidRDefault="000F595A" w:rsidP="00525C75">
      <w:pPr>
        <w:spacing w:after="0" w:line="240" w:lineRule="auto"/>
        <w:jc w:val="center"/>
        <w:rPr>
          <w:rFonts w:ascii="Arial" w:eastAsia="Times New Roman" w:hAnsi="Arial" w:cs="Arial"/>
          <w:b/>
          <w:bCs/>
          <w:kern w:val="2"/>
          <w:sz w:val="24"/>
          <w:szCs w:val="24"/>
          <w:lang w:val="es-ES"/>
        </w:rPr>
      </w:pPr>
      <w:r w:rsidRPr="00B51A02">
        <w:rPr>
          <w:rFonts w:ascii="Arial" w:eastAsia="Times New Roman" w:hAnsi="Arial" w:cs="Arial"/>
          <w:b/>
          <w:bCs/>
          <w:kern w:val="2"/>
          <w:sz w:val="24"/>
          <w:szCs w:val="24"/>
          <w:lang w:val="es-ES"/>
        </w:rPr>
        <w:t>PROGRAMA</w:t>
      </w:r>
      <w:r w:rsidR="00FC0949">
        <w:rPr>
          <w:rFonts w:ascii="Arial" w:eastAsia="Times New Roman" w:hAnsi="Arial" w:cs="Arial"/>
          <w:b/>
          <w:bCs/>
          <w:kern w:val="2"/>
          <w:sz w:val="24"/>
          <w:szCs w:val="24"/>
          <w:lang w:val="es-ES"/>
        </w:rPr>
        <w:t xml:space="preserve"> DE PENSIÓN PARA</w:t>
      </w:r>
      <w:r w:rsidRPr="00B51A02">
        <w:rPr>
          <w:rFonts w:ascii="Arial" w:eastAsia="Times New Roman" w:hAnsi="Arial" w:cs="Arial"/>
          <w:b/>
          <w:bCs/>
          <w:kern w:val="2"/>
          <w:sz w:val="24"/>
          <w:szCs w:val="24"/>
          <w:lang w:val="es-ES"/>
        </w:rPr>
        <w:t xml:space="preserve"> ADULTOS MAYORES</w:t>
      </w:r>
      <w:r w:rsidR="008340A0" w:rsidRPr="00E74964">
        <w:rPr>
          <w:rStyle w:val="Refdenotaalpie"/>
          <w:rFonts w:ascii="Arial" w:eastAsia="Times New Roman" w:hAnsi="Arial" w:cs="Arial"/>
          <w:b/>
          <w:bCs/>
          <w:kern w:val="2"/>
          <w:sz w:val="24"/>
          <w:szCs w:val="24"/>
          <w:lang w:val="es-ES"/>
        </w:rPr>
        <w:footnoteReference w:id="6"/>
      </w:r>
    </w:p>
    <w:p w14:paraId="6F315F8F" w14:textId="77777777" w:rsidR="0038146E" w:rsidRDefault="0038146E" w:rsidP="00525C75">
      <w:pPr>
        <w:spacing w:after="0" w:line="240" w:lineRule="auto"/>
        <w:jc w:val="both"/>
        <w:rPr>
          <w:rFonts w:ascii="Arial" w:eastAsia="Times New Roman" w:hAnsi="Arial" w:cs="Arial"/>
          <w:kern w:val="2"/>
          <w:sz w:val="24"/>
          <w:szCs w:val="24"/>
          <w:lang w:val="es-ES"/>
        </w:rPr>
      </w:pPr>
    </w:p>
    <w:p w14:paraId="597E155B" w14:textId="750F836A" w:rsidR="00525C75" w:rsidRPr="00525C75" w:rsidRDefault="00525C75" w:rsidP="00525C75">
      <w:pPr>
        <w:spacing w:after="0" w:line="240" w:lineRule="auto"/>
        <w:jc w:val="both"/>
        <w:rPr>
          <w:rFonts w:ascii="Arial" w:eastAsia="Times New Roman" w:hAnsi="Arial" w:cs="Arial"/>
          <w:kern w:val="2"/>
          <w:sz w:val="24"/>
          <w:szCs w:val="24"/>
          <w:lang w:val="es-ES"/>
        </w:rPr>
      </w:pPr>
      <w:r w:rsidRPr="00525C75">
        <w:rPr>
          <w:rFonts w:ascii="Arial" w:eastAsia="Times New Roman" w:hAnsi="Arial" w:cs="Arial"/>
          <w:kern w:val="2"/>
          <w:sz w:val="24"/>
          <w:szCs w:val="24"/>
          <w:lang w:val="es-ES"/>
        </w:rPr>
        <w:t>En el marco de la Ley N.º 7322/2024, “Que establece la pensión universal para las personas adultas mayores y dispone beneficios de acceso e inclusión”, y su Decreto Reglamentario N.º 3139/2024, el Programa de Pensión para Adultos Mayores incorporó, durante el tercer trimestre del año 2025, a 15.134 nuevos beneficiarios de 72 y 73 años de edad que cumplían con los requisitos establecidos. Esta incorporación alcanzó a personas residentes en los 17 departamentos del país, el área metropolitana de Asunción, 48 comunidades indígenas, así como a personas con discapacidad que fueron priorizadas conforme a los criterios definidos por la normativa vigente. Estas personas acceden ahora a un ingreso mensual estable que les permite cubrir sus necesidades básicas, mejorando su calidad de vida.</w:t>
      </w:r>
    </w:p>
    <w:p w14:paraId="55062ED5" w14:textId="77777777" w:rsidR="00525C75" w:rsidRPr="00525C75" w:rsidRDefault="00525C75" w:rsidP="00525C75">
      <w:pPr>
        <w:spacing w:after="0" w:line="240" w:lineRule="auto"/>
        <w:jc w:val="both"/>
        <w:rPr>
          <w:rFonts w:ascii="Arial" w:eastAsia="Times New Roman" w:hAnsi="Arial" w:cs="Arial"/>
          <w:kern w:val="2"/>
          <w:sz w:val="24"/>
          <w:szCs w:val="24"/>
          <w:lang w:val="es-ES"/>
        </w:rPr>
      </w:pPr>
    </w:p>
    <w:p w14:paraId="5847B063" w14:textId="4279B659" w:rsidR="00FC0949" w:rsidRDefault="00525C75" w:rsidP="00525C75">
      <w:pPr>
        <w:spacing w:after="0" w:line="240" w:lineRule="auto"/>
        <w:jc w:val="both"/>
        <w:rPr>
          <w:rFonts w:ascii="Arial" w:eastAsia="Times New Roman" w:hAnsi="Arial" w:cs="Arial"/>
          <w:kern w:val="2"/>
          <w:sz w:val="24"/>
          <w:szCs w:val="24"/>
          <w:lang w:val="es-ES"/>
        </w:rPr>
      </w:pPr>
      <w:r w:rsidRPr="00525C75">
        <w:rPr>
          <w:rFonts w:ascii="Arial" w:eastAsia="Times New Roman" w:hAnsi="Arial" w:cs="Arial"/>
          <w:kern w:val="2"/>
          <w:sz w:val="24"/>
          <w:szCs w:val="24"/>
          <w:lang w:val="es-ES"/>
        </w:rPr>
        <w:t>Asimismo,</w:t>
      </w:r>
      <w:r>
        <w:rPr>
          <w:rFonts w:ascii="Arial" w:eastAsia="Times New Roman" w:hAnsi="Arial" w:cs="Arial"/>
          <w:kern w:val="2"/>
          <w:sz w:val="24"/>
          <w:szCs w:val="24"/>
          <w:lang w:val="es-ES"/>
        </w:rPr>
        <w:t xml:space="preserve"> </w:t>
      </w:r>
      <w:r w:rsidRPr="00525C75">
        <w:rPr>
          <w:rFonts w:ascii="Arial" w:eastAsia="Times New Roman" w:hAnsi="Arial" w:cs="Arial"/>
          <w:kern w:val="2"/>
          <w:sz w:val="24"/>
          <w:szCs w:val="24"/>
          <w:lang w:val="es-ES"/>
        </w:rPr>
        <w:t xml:space="preserve">en </w:t>
      </w:r>
      <w:r>
        <w:rPr>
          <w:rFonts w:ascii="Arial" w:eastAsia="Times New Roman" w:hAnsi="Arial" w:cs="Arial"/>
          <w:kern w:val="2"/>
          <w:sz w:val="24"/>
          <w:szCs w:val="24"/>
          <w:lang w:val="es-ES"/>
        </w:rPr>
        <w:t>cumplimiento al mismo marco normativo</w:t>
      </w:r>
      <w:r w:rsidRPr="00525C75">
        <w:rPr>
          <w:rFonts w:ascii="Arial" w:eastAsia="Times New Roman" w:hAnsi="Arial" w:cs="Arial"/>
          <w:kern w:val="2"/>
          <w:sz w:val="24"/>
          <w:szCs w:val="24"/>
          <w:lang w:val="es-ES"/>
        </w:rPr>
        <w:t xml:space="preserve">, que establece la obligatoriedad del seguimiento, monitoreo y evaluación de la implementación del programa, se realizaron un total de 1.389 verificaciones en Asunción y en los </w:t>
      </w:r>
      <w:r w:rsidRPr="00525C75">
        <w:rPr>
          <w:rFonts w:ascii="Arial" w:eastAsia="Times New Roman" w:hAnsi="Arial" w:cs="Arial"/>
          <w:kern w:val="2"/>
          <w:sz w:val="24"/>
          <w:szCs w:val="24"/>
          <w:lang w:val="es-ES"/>
        </w:rPr>
        <w:lastRenderedPageBreak/>
        <w:t>departamentos de Caaguazú, Paraguarí, Ñeembucú, San Pedro y Alto Paraná, abarcando 34 distritos del país.</w:t>
      </w:r>
    </w:p>
    <w:p w14:paraId="2935F18A" w14:textId="77777777" w:rsidR="00525C75" w:rsidRPr="00FC0949" w:rsidRDefault="00525C75" w:rsidP="00525C75">
      <w:pPr>
        <w:spacing w:after="0" w:line="240" w:lineRule="auto"/>
        <w:jc w:val="both"/>
        <w:rPr>
          <w:rFonts w:ascii="Arial" w:eastAsia="Times New Roman" w:hAnsi="Arial" w:cs="Arial"/>
          <w:kern w:val="2"/>
          <w:sz w:val="24"/>
          <w:szCs w:val="24"/>
          <w:lang w:val="es-ES"/>
        </w:rPr>
      </w:pPr>
    </w:p>
    <w:p w14:paraId="5146A952" w14:textId="5A9503CE" w:rsidR="00FC0949" w:rsidRDefault="00FC0949" w:rsidP="00525C75">
      <w:pPr>
        <w:spacing w:after="0" w:line="240" w:lineRule="auto"/>
        <w:jc w:val="both"/>
        <w:rPr>
          <w:rFonts w:ascii="Arial" w:eastAsia="Times New Roman" w:hAnsi="Arial" w:cs="Arial"/>
          <w:kern w:val="2"/>
          <w:sz w:val="24"/>
          <w:szCs w:val="24"/>
          <w:lang w:val="es-ES"/>
        </w:rPr>
      </w:pPr>
      <w:r w:rsidRPr="00FC0949">
        <w:rPr>
          <w:rFonts w:ascii="Arial" w:eastAsia="Times New Roman" w:hAnsi="Arial" w:cs="Arial"/>
          <w:kern w:val="2"/>
          <w:sz w:val="24"/>
          <w:szCs w:val="24"/>
          <w:lang w:val="es-ES"/>
        </w:rPr>
        <w:t>Estas verificaciones incluyeron la constatación del cobro efectivo de la pensión por parte de los adultos mayores, la realización de pruebas de vida y la verificación de su residencia dentro del territorio paraguayo.</w:t>
      </w:r>
    </w:p>
    <w:p w14:paraId="1EDA8316" w14:textId="77777777" w:rsidR="00FC0949" w:rsidRPr="00FC0949" w:rsidRDefault="00FC0949" w:rsidP="00525C75">
      <w:pPr>
        <w:spacing w:after="0" w:line="240" w:lineRule="auto"/>
        <w:jc w:val="both"/>
        <w:rPr>
          <w:rFonts w:ascii="Arial" w:eastAsia="Times New Roman" w:hAnsi="Arial" w:cs="Arial"/>
          <w:kern w:val="2"/>
          <w:sz w:val="24"/>
          <w:szCs w:val="24"/>
          <w:lang w:val="es-ES"/>
        </w:rPr>
      </w:pPr>
    </w:p>
    <w:p w14:paraId="3FE3A3BB" w14:textId="77777777" w:rsidR="00FC0949" w:rsidRPr="00FC0949" w:rsidRDefault="00FC0949" w:rsidP="00525C75">
      <w:pPr>
        <w:spacing w:after="0" w:line="240" w:lineRule="auto"/>
        <w:jc w:val="both"/>
        <w:rPr>
          <w:rFonts w:ascii="Arial" w:eastAsia="Times New Roman" w:hAnsi="Arial" w:cs="Arial"/>
          <w:kern w:val="2"/>
          <w:sz w:val="24"/>
          <w:szCs w:val="24"/>
          <w:lang w:val="es-ES"/>
        </w:rPr>
      </w:pPr>
      <w:r w:rsidRPr="00FC0949">
        <w:rPr>
          <w:rFonts w:ascii="Arial" w:eastAsia="Times New Roman" w:hAnsi="Arial" w:cs="Arial"/>
          <w:kern w:val="2"/>
          <w:sz w:val="24"/>
          <w:szCs w:val="24"/>
          <w:lang w:val="es-ES"/>
        </w:rPr>
        <w:t>Asimismo, se coordinó con diversas instituciones territoriales para el relevamiento de información en oficinas del Registro Civil, centros de salud y hospitales, el Tribunal Superior de Justicia Electoral y los municipios correspondientes.</w:t>
      </w:r>
    </w:p>
    <w:p w14:paraId="1B0D1461" w14:textId="77777777" w:rsidR="00FC0949" w:rsidRPr="00FC0949" w:rsidRDefault="00FC0949" w:rsidP="00525C75">
      <w:pPr>
        <w:spacing w:after="0" w:line="240" w:lineRule="auto"/>
        <w:jc w:val="both"/>
        <w:rPr>
          <w:rFonts w:ascii="Arial" w:eastAsia="Times New Roman" w:hAnsi="Arial" w:cs="Arial"/>
          <w:kern w:val="2"/>
          <w:sz w:val="24"/>
          <w:szCs w:val="24"/>
          <w:lang w:val="es-ES"/>
        </w:rPr>
      </w:pPr>
    </w:p>
    <w:p w14:paraId="5973BBAF" w14:textId="399BA152" w:rsidR="000F595A" w:rsidRDefault="00FC0949" w:rsidP="00525C75">
      <w:pPr>
        <w:spacing w:after="0" w:line="240" w:lineRule="auto"/>
        <w:jc w:val="both"/>
        <w:rPr>
          <w:rFonts w:ascii="Arial" w:eastAsia="Times New Roman" w:hAnsi="Arial" w:cs="Arial"/>
          <w:kern w:val="2"/>
          <w:sz w:val="24"/>
          <w:szCs w:val="24"/>
          <w:lang w:val="es-ES"/>
        </w:rPr>
      </w:pPr>
      <w:r w:rsidRPr="00FC0949">
        <w:rPr>
          <w:rFonts w:ascii="Arial" w:eastAsia="Times New Roman" w:hAnsi="Arial" w:cs="Arial"/>
          <w:kern w:val="2"/>
          <w:sz w:val="24"/>
          <w:szCs w:val="24"/>
          <w:lang w:val="es-ES"/>
        </w:rPr>
        <w:t>En todos los departamentos verificados se realizaron jornadas de capacitación, invitando a representantes de todos los distritos del departamento, con el fin de dar a conocer el programa y ampliar su alcance entre los beneficiarios y destinatarios.</w:t>
      </w:r>
    </w:p>
    <w:p w14:paraId="63C7CE96" w14:textId="034D2B76" w:rsidR="00C07C99" w:rsidRDefault="00C07C99" w:rsidP="00525C75">
      <w:pPr>
        <w:spacing w:after="0" w:line="240" w:lineRule="auto"/>
        <w:jc w:val="both"/>
        <w:rPr>
          <w:rFonts w:ascii="Arial" w:eastAsia="Times New Roman" w:hAnsi="Arial" w:cs="Arial"/>
          <w:sz w:val="24"/>
          <w:szCs w:val="24"/>
          <w:lang w:eastAsia="es-MX"/>
        </w:rPr>
      </w:pPr>
    </w:p>
    <w:p w14:paraId="254D3427" w14:textId="1FB1B8CD" w:rsidR="0096575F" w:rsidRPr="0038146E" w:rsidRDefault="0096575F" w:rsidP="00525C75">
      <w:pPr>
        <w:spacing w:after="0"/>
        <w:jc w:val="center"/>
        <w:rPr>
          <w:rFonts w:ascii="Arial" w:eastAsia="Times New Roman" w:hAnsi="Arial" w:cs="Arial"/>
          <w:b/>
          <w:bCs/>
          <w:sz w:val="24"/>
          <w:szCs w:val="24"/>
          <w:lang w:val="es-ES" w:eastAsia="es-MX"/>
        </w:rPr>
      </w:pPr>
      <w:r w:rsidRPr="0038146E">
        <w:rPr>
          <w:rFonts w:ascii="Arial" w:eastAsia="Times New Roman" w:hAnsi="Arial" w:cs="Arial"/>
          <w:b/>
          <w:bCs/>
          <w:sz w:val="24"/>
          <w:szCs w:val="24"/>
          <w:lang w:val="es-ES" w:eastAsia="es-MX"/>
        </w:rPr>
        <w:t>PROGRAMA PAE – HAMBRE CERO (MDS EJECUTOR)</w:t>
      </w:r>
      <w:r w:rsidR="00447CD9">
        <w:rPr>
          <w:rStyle w:val="Refdenotaalpie"/>
          <w:rFonts w:ascii="Arial" w:eastAsia="Times New Roman" w:hAnsi="Arial" w:cs="Arial"/>
          <w:b/>
          <w:bCs/>
          <w:sz w:val="24"/>
          <w:szCs w:val="24"/>
          <w:lang w:val="es-ES" w:eastAsia="es-MX"/>
        </w:rPr>
        <w:footnoteReference w:id="7"/>
      </w:r>
    </w:p>
    <w:p w14:paraId="4288EE9C" w14:textId="77777777" w:rsidR="00C07C99" w:rsidRPr="0038146E" w:rsidRDefault="00C07C99" w:rsidP="00525C75">
      <w:pPr>
        <w:spacing w:after="0" w:line="240" w:lineRule="auto"/>
        <w:jc w:val="both"/>
        <w:rPr>
          <w:rFonts w:ascii="Arial" w:eastAsia="Times New Roman" w:hAnsi="Arial" w:cs="Arial"/>
          <w:b/>
          <w:sz w:val="24"/>
          <w:szCs w:val="24"/>
          <w:lang w:eastAsia="es-MX"/>
        </w:rPr>
      </w:pPr>
    </w:p>
    <w:p w14:paraId="13EE30A1" w14:textId="4569475C" w:rsidR="00BD42C4" w:rsidRPr="0038146E" w:rsidRDefault="00BD42C4" w:rsidP="00BD42C4">
      <w:pPr>
        <w:spacing w:after="0" w:line="240" w:lineRule="auto"/>
        <w:jc w:val="both"/>
        <w:rPr>
          <w:rFonts w:ascii="Arial" w:eastAsia="Times New Roman" w:hAnsi="Arial" w:cs="Arial"/>
          <w:kern w:val="2"/>
          <w:sz w:val="24"/>
          <w:szCs w:val="24"/>
          <w:lang w:val="es-ES"/>
        </w:rPr>
      </w:pPr>
      <w:r w:rsidRPr="0038146E">
        <w:rPr>
          <w:rFonts w:ascii="Arial" w:eastAsia="Times New Roman" w:hAnsi="Arial" w:cs="Arial"/>
          <w:kern w:val="2"/>
          <w:sz w:val="24"/>
          <w:szCs w:val="24"/>
          <w:lang w:val="es-ES"/>
        </w:rPr>
        <w:t>El MDS Ejecutor asume el compromiso de garantizar la seguridad alimentaria y nutrición escolar, a través del programa de alimentación escolar en las escuelas.</w:t>
      </w:r>
    </w:p>
    <w:p w14:paraId="33CC3DF9" w14:textId="77777777" w:rsidR="00BD42C4" w:rsidRPr="0038146E" w:rsidRDefault="00BD42C4" w:rsidP="00BD42C4">
      <w:pPr>
        <w:spacing w:after="0" w:line="240" w:lineRule="auto"/>
        <w:jc w:val="both"/>
        <w:rPr>
          <w:rFonts w:ascii="Arial" w:eastAsia="Times New Roman" w:hAnsi="Arial" w:cs="Arial"/>
          <w:kern w:val="2"/>
          <w:sz w:val="24"/>
          <w:szCs w:val="24"/>
          <w:lang w:val="es-ES"/>
        </w:rPr>
      </w:pPr>
    </w:p>
    <w:p w14:paraId="3D7236C0" w14:textId="0E3B0AB5" w:rsidR="00BD42C4" w:rsidRPr="0038146E" w:rsidRDefault="00BD42C4" w:rsidP="00BD42C4">
      <w:pPr>
        <w:spacing w:after="0" w:line="240" w:lineRule="auto"/>
        <w:jc w:val="both"/>
        <w:rPr>
          <w:rFonts w:ascii="Arial" w:eastAsia="Times New Roman" w:hAnsi="Arial" w:cs="Arial"/>
          <w:kern w:val="2"/>
          <w:sz w:val="24"/>
          <w:szCs w:val="24"/>
          <w:lang w:val="es-ES"/>
        </w:rPr>
      </w:pPr>
      <w:r w:rsidRPr="0038146E">
        <w:rPr>
          <w:rFonts w:ascii="Arial" w:eastAsia="Times New Roman" w:hAnsi="Arial" w:cs="Arial"/>
          <w:kern w:val="2"/>
          <w:sz w:val="24"/>
          <w:szCs w:val="24"/>
          <w:lang w:val="es-ES"/>
        </w:rPr>
        <w:t>El programa hambre cero, desde el mes de setiembre ha ampliado su cobertura en la provisión de alimentación al 100% de los alumnos de la educación media de los colegios públicos de Asunción</w:t>
      </w:r>
      <w:r w:rsidR="00C51219" w:rsidRPr="0038146E">
        <w:rPr>
          <w:rFonts w:ascii="Arial" w:eastAsia="Times New Roman" w:hAnsi="Arial" w:cs="Arial"/>
          <w:kern w:val="2"/>
          <w:sz w:val="24"/>
          <w:szCs w:val="24"/>
          <w:lang w:val="es-ES"/>
        </w:rPr>
        <w:t xml:space="preserve"> y</w:t>
      </w:r>
      <w:r w:rsidRPr="0038146E">
        <w:rPr>
          <w:rFonts w:ascii="Arial" w:eastAsia="Times New Roman" w:hAnsi="Arial" w:cs="Arial"/>
          <w:kern w:val="2"/>
          <w:sz w:val="24"/>
          <w:szCs w:val="24"/>
          <w:lang w:val="es-ES"/>
        </w:rPr>
        <w:t xml:space="preserve"> Central, como resultado de la racionalización de las provisiones y la optimización de los recursos en los montos contratados.  </w:t>
      </w:r>
    </w:p>
    <w:p w14:paraId="61AB2D8D" w14:textId="77777777" w:rsidR="00BD42C4" w:rsidRPr="0038146E" w:rsidRDefault="00BD42C4" w:rsidP="00BD42C4">
      <w:pPr>
        <w:spacing w:after="0" w:line="240" w:lineRule="auto"/>
        <w:jc w:val="both"/>
        <w:rPr>
          <w:rFonts w:ascii="Arial" w:eastAsia="Times New Roman" w:hAnsi="Arial" w:cs="Arial"/>
          <w:kern w:val="2"/>
          <w:sz w:val="24"/>
          <w:szCs w:val="24"/>
          <w:lang w:val="es-ES"/>
        </w:rPr>
      </w:pPr>
    </w:p>
    <w:p w14:paraId="7EFF7733" w14:textId="717BA3AB" w:rsidR="00BD42C4" w:rsidRPr="0038146E" w:rsidRDefault="00BD42C4" w:rsidP="00BD42C4">
      <w:pPr>
        <w:spacing w:after="0" w:line="240" w:lineRule="auto"/>
        <w:jc w:val="both"/>
        <w:rPr>
          <w:rFonts w:ascii="Arial" w:eastAsia="Times New Roman" w:hAnsi="Arial" w:cs="Arial"/>
          <w:kern w:val="2"/>
          <w:sz w:val="24"/>
          <w:szCs w:val="24"/>
          <w:lang w:val="es-ES"/>
        </w:rPr>
      </w:pPr>
      <w:r w:rsidRPr="0038146E">
        <w:rPr>
          <w:rFonts w:ascii="Arial" w:eastAsia="Times New Roman" w:hAnsi="Arial" w:cs="Arial"/>
          <w:kern w:val="2"/>
          <w:sz w:val="24"/>
          <w:szCs w:val="24"/>
          <w:lang w:val="es-ES"/>
        </w:rPr>
        <w:t>Po</w:t>
      </w:r>
      <w:r w:rsidR="00FC7703" w:rsidRPr="0038146E">
        <w:rPr>
          <w:rFonts w:ascii="Arial" w:eastAsia="Times New Roman" w:hAnsi="Arial" w:cs="Arial"/>
          <w:kern w:val="2"/>
          <w:sz w:val="24"/>
          <w:szCs w:val="24"/>
          <w:lang w:val="es-ES"/>
        </w:rPr>
        <w:t>r otra parte, el MDS intensificó</w:t>
      </w:r>
      <w:r w:rsidRPr="0038146E">
        <w:rPr>
          <w:rFonts w:ascii="Arial" w:eastAsia="Times New Roman" w:hAnsi="Arial" w:cs="Arial"/>
          <w:kern w:val="2"/>
          <w:sz w:val="24"/>
          <w:szCs w:val="24"/>
          <w:lang w:val="es-ES"/>
        </w:rPr>
        <w:t xml:space="preserve"> los controles y verificaciones en las esc</w:t>
      </w:r>
      <w:r w:rsidR="00917598">
        <w:rPr>
          <w:rFonts w:ascii="Arial" w:eastAsia="Times New Roman" w:hAnsi="Arial" w:cs="Arial"/>
          <w:kern w:val="2"/>
          <w:sz w:val="24"/>
          <w:szCs w:val="24"/>
          <w:lang w:val="es-ES"/>
        </w:rPr>
        <w:t xml:space="preserve">uelas del Departamento Central. El equipo que realiza dichos controles </w:t>
      </w:r>
      <w:r w:rsidRPr="0038146E">
        <w:rPr>
          <w:rFonts w:ascii="Arial" w:eastAsia="Times New Roman" w:hAnsi="Arial" w:cs="Arial"/>
          <w:kern w:val="2"/>
          <w:sz w:val="24"/>
          <w:szCs w:val="24"/>
          <w:lang w:val="es-ES"/>
        </w:rPr>
        <w:t>se compone de auditores internos, técnicos de control de calidad alime</w:t>
      </w:r>
      <w:r w:rsidR="00917598">
        <w:rPr>
          <w:rFonts w:ascii="Arial" w:eastAsia="Times New Roman" w:hAnsi="Arial" w:cs="Arial"/>
          <w:kern w:val="2"/>
          <w:sz w:val="24"/>
          <w:szCs w:val="24"/>
          <w:lang w:val="es-ES"/>
        </w:rPr>
        <w:t>ntaria y técnicos del programa y como r</w:t>
      </w:r>
      <w:r w:rsidRPr="0038146E">
        <w:rPr>
          <w:rFonts w:ascii="Arial" w:eastAsia="Times New Roman" w:hAnsi="Arial" w:cs="Arial"/>
          <w:kern w:val="2"/>
          <w:sz w:val="24"/>
          <w:szCs w:val="24"/>
          <w:lang w:val="es-ES"/>
        </w:rPr>
        <w:t xml:space="preserve">esultado de estas intervenciones se ha procedido a la aplicación de multas por incumplimiento contractual a 3 empresas adjudicadas. </w:t>
      </w:r>
      <w:bookmarkStart w:id="0" w:name="_GoBack"/>
      <w:bookmarkEnd w:id="0"/>
    </w:p>
    <w:p w14:paraId="4DF8316F" w14:textId="3E1A9330" w:rsidR="00A810D8" w:rsidRPr="00BD42C4" w:rsidRDefault="00A810D8" w:rsidP="00525C75">
      <w:pPr>
        <w:spacing w:after="0" w:line="240" w:lineRule="auto"/>
        <w:jc w:val="both"/>
        <w:rPr>
          <w:rFonts w:ascii="Arial" w:eastAsia="Times New Roman" w:hAnsi="Arial" w:cs="Arial"/>
          <w:kern w:val="2"/>
          <w:sz w:val="24"/>
          <w:szCs w:val="24"/>
          <w:lang w:val="es-ES"/>
        </w:rPr>
      </w:pPr>
    </w:p>
    <w:p w14:paraId="1C8D5F19" w14:textId="77777777" w:rsidR="00525C75" w:rsidRDefault="00525C75" w:rsidP="00525C75">
      <w:pPr>
        <w:spacing w:after="0" w:line="240" w:lineRule="auto"/>
        <w:jc w:val="both"/>
        <w:rPr>
          <w:rFonts w:ascii="Arial" w:eastAsia="Times New Roman" w:hAnsi="Arial" w:cs="Arial"/>
          <w:kern w:val="2"/>
          <w:sz w:val="24"/>
          <w:szCs w:val="24"/>
          <w:lang w:val="es-ES"/>
        </w:rPr>
      </w:pPr>
    </w:p>
    <w:p w14:paraId="50904CBB" w14:textId="0BC3EC2B" w:rsidR="00A810D8" w:rsidRDefault="00A810D8" w:rsidP="00525C75">
      <w:pPr>
        <w:spacing w:after="0"/>
        <w:jc w:val="center"/>
        <w:rPr>
          <w:rFonts w:ascii="Arial" w:eastAsia="Times New Roman" w:hAnsi="Arial" w:cs="Arial"/>
          <w:b/>
          <w:bCs/>
          <w:sz w:val="24"/>
          <w:szCs w:val="24"/>
          <w:lang w:val="es-ES" w:eastAsia="es-MX"/>
        </w:rPr>
      </w:pPr>
      <w:r w:rsidRPr="00A810D8">
        <w:rPr>
          <w:rFonts w:ascii="Arial" w:eastAsia="Times New Roman" w:hAnsi="Arial" w:cs="Arial"/>
          <w:b/>
          <w:bCs/>
          <w:sz w:val="24"/>
          <w:szCs w:val="24"/>
          <w:lang w:val="es-ES" w:eastAsia="es-MX"/>
        </w:rPr>
        <w:t>EVENTO ANUAL DE RENDICIÓN DE CUENTAS AL CIUDADANO</w:t>
      </w:r>
      <w:r w:rsidRPr="00A810D8">
        <w:rPr>
          <w:rFonts w:ascii="Arial" w:hAnsi="Arial" w:cs="Arial"/>
          <w:bCs/>
          <w:vertAlign w:val="superscript"/>
          <w:lang w:eastAsia="es-MX"/>
        </w:rPr>
        <w:footnoteReference w:id="8"/>
      </w:r>
    </w:p>
    <w:p w14:paraId="7647DDF2" w14:textId="77777777" w:rsidR="00525C75" w:rsidRPr="00A810D8" w:rsidRDefault="00525C75" w:rsidP="00525C75">
      <w:pPr>
        <w:spacing w:after="0"/>
        <w:jc w:val="center"/>
        <w:rPr>
          <w:rFonts w:ascii="Arial" w:eastAsia="Times New Roman" w:hAnsi="Arial" w:cs="Arial"/>
          <w:b/>
          <w:bCs/>
          <w:sz w:val="24"/>
          <w:szCs w:val="24"/>
          <w:lang w:val="es-ES" w:eastAsia="es-MX"/>
        </w:rPr>
      </w:pPr>
    </w:p>
    <w:p w14:paraId="518D937E" w14:textId="13583DFA" w:rsidR="00A810D8"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Cuando hablamos de rendición de cuentas nos referimos al proceso mediante el cual quienes toman decisiones en la gestión pública, cumplen su deber y responsabilidad de explicar, dar a conocer y responder a la ciudadanía sobre la administración, ejecución de actividades y sus resultados. El modelo de rendición de cuentas se desarrolla en base a una metodología establecida en el manual aprobado por el Decreto Nº 2991/19, que encarga a las autoridades de las instituciones del Poder Ejecutivo, a impulsar actividades de rendición sobre su gestión, dirigidos al sujeto destinatario del servicio (el ciudadano), de manera sencilla, amigable y en forma constante, motivando su colaboración en los procesos de toma de decisiones.</w:t>
      </w:r>
    </w:p>
    <w:p w14:paraId="3B4E5B17" w14:textId="77777777" w:rsidR="00A810D8" w:rsidRPr="00A810D8" w:rsidRDefault="00A810D8" w:rsidP="00525C75">
      <w:pPr>
        <w:spacing w:after="0" w:line="240" w:lineRule="auto"/>
        <w:jc w:val="both"/>
        <w:rPr>
          <w:rFonts w:ascii="Arial" w:eastAsia="Times New Roman" w:hAnsi="Arial" w:cs="Arial"/>
          <w:kern w:val="2"/>
          <w:sz w:val="24"/>
          <w:szCs w:val="24"/>
          <w:lang w:val="es-ES"/>
        </w:rPr>
      </w:pPr>
    </w:p>
    <w:p w14:paraId="3F601FEA" w14:textId="60C1A7ED" w:rsidR="00A810D8"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Para hacer posible este proceso el MDS cuenta con el Comité de Rendición de Cuentas al Ciudadano, conformado por la alta gerencia y coordinado por la Dirección de la Unidad de Transparencia y Anticorrupción, para el cumplimiento de la Resolución MDS N° 207/2024  y la Resolución MDS N° 409/2025 “Por la cual se aprueba el Plan de Rendición de Cuentas al Ciudadano del Ministerio de Desarrollo Social para el presente ejercicio fiscal”, bajo el monitoreo de la Contraloría General de la República (CGR).</w:t>
      </w:r>
    </w:p>
    <w:p w14:paraId="00540BA3" w14:textId="77777777" w:rsidR="00A810D8" w:rsidRPr="00A810D8" w:rsidRDefault="00A810D8" w:rsidP="00525C75">
      <w:pPr>
        <w:spacing w:after="0" w:line="240" w:lineRule="auto"/>
        <w:jc w:val="both"/>
        <w:rPr>
          <w:rFonts w:ascii="Arial" w:eastAsia="Times New Roman" w:hAnsi="Arial" w:cs="Arial"/>
          <w:kern w:val="2"/>
          <w:sz w:val="24"/>
          <w:szCs w:val="24"/>
          <w:lang w:val="es-ES"/>
        </w:rPr>
      </w:pPr>
    </w:p>
    <w:p w14:paraId="65B5375C" w14:textId="334F2C34" w:rsidR="00A810D8"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 xml:space="preserve">En fecha 04/09/2025, en ocasión de cumplirse el segundo año de gestión de la actual administración, compartimos con la ciudadanía un material audiovisual elaborado por la Dirección de Comunicación, con la colaboración de todos los miembros del Comité de Rendición de Cuentas al Ciudadano y bajo la coordinación de la UTA, que pretende, por un lado, resumir los logros y desafíos que este primer año de gestión nos ha dejado y, por otro lado, apunta a satisfacer el interés ciudadano por la gestión institucional, promoviendo, de esa manera, la transparencia y la participación ciudadana, necesarias para el fortalecimiento de la democracia. </w:t>
      </w:r>
    </w:p>
    <w:p w14:paraId="7F5FA560" w14:textId="77777777" w:rsidR="00A810D8" w:rsidRPr="00A810D8" w:rsidRDefault="00A810D8" w:rsidP="00525C75">
      <w:pPr>
        <w:spacing w:after="0" w:line="240" w:lineRule="auto"/>
        <w:jc w:val="both"/>
        <w:rPr>
          <w:rFonts w:ascii="Arial" w:eastAsia="Times New Roman" w:hAnsi="Arial" w:cs="Arial"/>
          <w:kern w:val="2"/>
          <w:sz w:val="24"/>
          <w:szCs w:val="24"/>
          <w:lang w:val="es-ES"/>
        </w:rPr>
      </w:pPr>
    </w:p>
    <w:p w14:paraId="7419BF14" w14:textId="70707DB0" w:rsidR="00A810D8" w:rsidRPr="00A810D8"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El material que fue publicado en el portal oficial del Ministerio de Desarrollo Social, así como en todas nuestras redes sociales</w:t>
      </w:r>
      <w:r w:rsidR="00944899">
        <w:rPr>
          <w:rFonts w:ascii="Arial" w:eastAsia="Times New Roman" w:hAnsi="Arial" w:cs="Arial"/>
          <w:kern w:val="2"/>
          <w:sz w:val="24"/>
          <w:szCs w:val="24"/>
          <w:lang w:val="es-ES"/>
        </w:rPr>
        <w:t>, contiene un informe sobre los 7 programas sociales implementados por la institución y sus principales logros</w:t>
      </w:r>
      <w:r w:rsidRPr="00A810D8">
        <w:rPr>
          <w:rFonts w:ascii="Arial" w:eastAsia="Times New Roman" w:hAnsi="Arial" w:cs="Arial"/>
          <w:kern w:val="2"/>
          <w:sz w:val="24"/>
          <w:szCs w:val="24"/>
          <w:lang w:val="es-ES"/>
        </w:rPr>
        <w:t>. Para la evaluación del impacto, el mismo está acompañado de un enlace, que remitirá a una encuesta de satisfacción, desarrollada por la Dirección General de Tecnologías de la Información y la Comunicación y redactada en los dos idiomas oficiales (castellano y guaraní), para la mejor comprensión del público destinatario. Los resultados de la encuesta serán procesados y compartidos en el mes de diciembre, en el informe anual. A continuación, los enlaces para acceder a:</w:t>
      </w:r>
    </w:p>
    <w:p w14:paraId="39F9F779" w14:textId="77777777" w:rsidR="006D2E61" w:rsidRDefault="006D2E61" w:rsidP="00525C75">
      <w:pPr>
        <w:spacing w:after="0" w:line="240" w:lineRule="auto"/>
        <w:jc w:val="both"/>
        <w:rPr>
          <w:rFonts w:ascii="Arial" w:eastAsia="Times New Roman" w:hAnsi="Arial" w:cs="Arial"/>
          <w:kern w:val="2"/>
          <w:sz w:val="24"/>
          <w:szCs w:val="24"/>
          <w:lang w:val="es-ES"/>
        </w:rPr>
      </w:pPr>
    </w:p>
    <w:p w14:paraId="0E5D9BB6" w14:textId="77777777" w:rsidR="00386E67"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 xml:space="preserve">Material audiovisual: </w:t>
      </w:r>
    </w:p>
    <w:p w14:paraId="1AC4495F" w14:textId="59E702A7" w:rsidR="00A810D8" w:rsidRPr="00A810D8" w:rsidRDefault="00454D81" w:rsidP="00525C75">
      <w:pPr>
        <w:spacing w:after="0" w:line="240" w:lineRule="auto"/>
        <w:jc w:val="both"/>
        <w:rPr>
          <w:rFonts w:ascii="Arial" w:eastAsia="Times New Roman" w:hAnsi="Arial" w:cs="Arial"/>
          <w:kern w:val="2"/>
          <w:sz w:val="24"/>
          <w:szCs w:val="24"/>
          <w:lang w:val="es-ES"/>
        </w:rPr>
      </w:pPr>
      <w:hyperlink r:id="rId8" w:history="1">
        <w:r w:rsidR="00525C75" w:rsidRPr="002145EF">
          <w:rPr>
            <w:rStyle w:val="Hipervnculo"/>
            <w:rFonts w:ascii="Arial" w:eastAsia="Times New Roman" w:hAnsi="Arial" w:cs="Arial"/>
            <w:kern w:val="2"/>
            <w:sz w:val="24"/>
            <w:szCs w:val="24"/>
            <w:lang w:val="es-ES"/>
          </w:rPr>
          <w:t>https://youtu.be/WxSKLSERS7U?si=f3e1eaBtRdXsthUo</w:t>
        </w:r>
      </w:hyperlink>
      <w:r w:rsidR="00525C75">
        <w:rPr>
          <w:rFonts w:ascii="Arial" w:eastAsia="Times New Roman" w:hAnsi="Arial" w:cs="Arial"/>
          <w:kern w:val="2"/>
          <w:sz w:val="24"/>
          <w:szCs w:val="24"/>
          <w:lang w:val="es-ES"/>
        </w:rPr>
        <w:t xml:space="preserve"> </w:t>
      </w:r>
    </w:p>
    <w:p w14:paraId="65DCBDD8" w14:textId="77777777" w:rsidR="006D2E61" w:rsidRDefault="006D2E61" w:rsidP="00525C75">
      <w:pPr>
        <w:spacing w:after="0" w:line="240" w:lineRule="auto"/>
        <w:jc w:val="both"/>
        <w:rPr>
          <w:rFonts w:ascii="Arial" w:eastAsia="Times New Roman" w:hAnsi="Arial" w:cs="Arial"/>
          <w:kern w:val="2"/>
          <w:sz w:val="24"/>
          <w:szCs w:val="24"/>
          <w:lang w:val="es-ES"/>
        </w:rPr>
      </w:pPr>
    </w:p>
    <w:p w14:paraId="48398DD2" w14:textId="77777777" w:rsidR="00386E67"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Encuesta de satisfacción:</w:t>
      </w:r>
    </w:p>
    <w:p w14:paraId="773F7296" w14:textId="764F43C0" w:rsidR="00A810D8" w:rsidRPr="00A810D8" w:rsidRDefault="00454D81" w:rsidP="00525C75">
      <w:pPr>
        <w:spacing w:after="0" w:line="240" w:lineRule="auto"/>
        <w:jc w:val="both"/>
        <w:rPr>
          <w:rFonts w:ascii="Arial" w:eastAsia="Times New Roman" w:hAnsi="Arial" w:cs="Arial"/>
          <w:kern w:val="2"/>
          <w:sz w:val="24"/>
          <w:szCs w:val="24"/>
          <w:lang w:val="es-ES"/>
        </w:rPr>
      </w:pPr>
      <w:hyperlink r:id="rId9" w:history="1">
        <w:r w:rsidR="00525C75" w:rsidRPr="002145EF">
          <w:rPr>
            <w:rStyle w:val="Hipervnculo"/>
            <w:rFonts w:ascii="Arial" w:eastAsia="Times New Roman" w:hAnsi="Arial" w:cs="Arial"/>
            <w:kern w:val="2"/>
            <w:sz w:val="24"/>
            <w:szCs w:val="24"/>
            <w:lang w:val="es-ES"/>
          </w:rPr>
          <w:t>https://encuestas.mds.gov.py/encuesta_satisfaccionadd.php</w:t>
        </w:r>
      </w:hyperlink>
      <w:r w:rsidR="00525C75">
        <w:rPr>
          <w:rFonts w:ascii="Arial" w:eastAsia="Times New Roman" w:hAnsi="Arial" w:cs="Arial"/>
          <w:kern w:val="2"/>
          <w:sz w:val="24"/>
          <w:szCs w:val="24"/>
          <w:lang w:val="es-ES"/>
        </w:rPr>
        <w:t xml:space="preserve"> </w:t>
      </w:r>
    </w:p>
    <w:p w14:paraId="27673196" w14:textId="77777777" w:rsidR="006D2E61" w:rsidRDefault="006D2E61" w:rsidP="00525C75">
      <w:pPr>
        <w:spacing w:after="0" w:line="240" w:lineRule="auto"/>
        <w:jc w:val="both"/>
        <w:rPr>
          <w:rFonts w:ascii="Arial" w:eastAsia="Times New Roman" w:hAnsi="Arial" w:cs="Arial"/>
          <w:kern w:val="2"/>
          <w:sz w:val="24"/>
          <w:szCs w:val="24"/>
          <w:lang w:val="es-ES"/>
        </w:rPr>
      </w:pPr>
    </w:p>
    <w:p w14:paraId="6DC97531" w14:textId="77777777" w:rsidR="00386E67" w:rsidRDefault="00A810D8" w:rsidP="00525C75">
      <w:pPr>
        <w:spacing w:after="0" w:line="240" w:lineRule="auto"/>
        <w:jc w:val="both"/>
        <w:rPr>
          <w:rFonts w:ascii="Arial" w:eastAsia="Times New Roman" w:hAnsi="Arial" w:cs="Arial"/>
          <w:kern w:val="2"/>
          <w:sz w:val="24"/>
          <w:szCs w:val="24"/>
          <w:lang w:val="es-ES"/>
        </w:rPr>
      </w:pPr>
      <w:r w:rsidRPr="00A810D8">
        <w:rPr>
          <w:rFonts w:ascii="Arial" w:eastAsia="Times New Roman" w:hAnsi="Arial" w:cs="Arial"/>
          <w:kern w:val="2"/>
          <w:sz w:val="24"/>
          <w:szCs w:val="24"/>
          <w:lang w:val="es-ES"/>
        </w:rPr>
        <w:t xml:space="preserve">Gacetilla de prensa: </w:t>
      </w:r>
    </w:p>
    <w:p w14:paraId="581BE3B8" w14:textId="382B3CD4" w:rsidR="00A810D8" w:rsidRDefault="00454D81" w:rsidP="00525C75">
      <w:pPr>
        <w:spacing w:after="0" w:line="240" w:lineRule="auto"/>
        <w:jc w:val="both"/>
        <w:rPr>
          <w:rFonts w:ascii="Arial" w:eastAsia="Times New Roman" w:hAnsi="Arial" w:cs="Arial"/>
          <w:kern w:val="2"/>
          <w:sz w:val="24"/>
          <w:szCs w:val="24"/>
          <w:lang w:val="es-ES"/>
        </w:rPr>
      </w:pPr>
      <w:hyperlink r:id="rId10" w:history="1">
        <w:r w:rsidR="00525C75" w:rsidRPr="002145EF">
          <w:rPr>
            <w:rStyle w:val="Hipervnculo"/>
            <w:rFonts w:ascii="Arial" w:eastAsia="Times New Roman" w:hAnsi="Arial" w:cs="Arial"/>
            <w:kern w:val="2"/>
            <w:sz w:val="24"/>
            <w:szCs w:val="24"/>
            <w:lang w:val="es-ES"/>
          </w:rPr>
          <w:t>https://mds.gov.py/mds-presento-material-sobre-rendicion-de-cuentas-y-anticorrupcion/</w:t>
        </w:r>
      </w:hyperlink>
      <w:r w:rsidR="00525C75">
        <w:rPr>
          <w:rFonts w:ascii="Arial" w:eastAsia="Times New Roman" w:hAnsi="Arial" w:cs="Arial"/>
          <w:kern w:val="2"/>
          <w:sz w:val="24"/>
          <w:szCs w:val="24"/>
          <w:lang w:val="es-ES"/>
        </w:rPr>
        <w:t xml:space="preserve"> </w:t>
      </w:r>
    </w:p>
    <w:p w14:paraId="52F07FDB" w14:textId="77777777" w:rsidR="004C1C74" w:rsidRPr="00A810D8" w:rsidRDefault="004C1C74" w:rsidP="00525C75">
      <w:pPr>
        <w:spacing w:after="0" w:line="240" w:lineRule="auto"/>
        <w:jc w:val="both"/>
        <w:rPr>
          <w:rFonts w:ascii="Arial" w:eastAsia="Times New Roman" w:hAnsi="Arial" w:cs="Arial"/>
          <w:kern w:val="2"/>
          <w:sz w:val="24"/>
          <w:szCs w:val="24"/>
          <w:lang w:val="es-ES"/>
        </w:rPr>
      </w:pPr>
    </w:p>
    <w:p w14:paraId="7DB8FB75" w14:textId="1CF387A2" w:rsidR="00525C75" w:rsidRDefault="00525C75" w:rsidP="002374A3">
      <w:pPr>
        <w:spacing w:after="0" w:line="240" w:lineRule="auto"/>
        <w:jc w:val="center"/>
        <w:rPr>
          <w:rFonts w:ascii="Arial" w:eastAsia="Times New Roman" w:hAnsi="Arial" w:cs="Arial"/>
          <w:kern w:val="2"/>
          <w:sz w:val="24"/>
          <w:szCs w:val="24"/>
          <w:lang w:val="es-ES"/>
        </w:rPr>
      </w:pPr>
    </w:p>
    <w:sectPr w:rsidR="00525C75" w:rsidSect="001439ED">
      <w:headerReference w:type="default" r:id="rId11"/>
      <w:footerReference w:type="default" r:id="rId12"/>
      <w:pgSz w:w="11906" w:h="16838" w:code="9"/>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4EBD5" w14:textId="77777777" w:rsidR="00454D81" w:rsidRDefault="00454D81">
      <w:pPr>
        <w:spacing w:after="0" w:line="240" w:lineRule="auto"/>
      </w:pPr>
      <w:r>
        <w:separator/>
      </w:r>
    </w:p>
  </w:endnote>
  <w:endnote w:type="continuationSeparator" w:id="0">
    <w:p w14:paraId="159C906E" w14:textId="77777777" w:rsidR="00454D81" w:rsidRDefault="0045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78B1" w14:textId="77777777" w:rsidR="009C6A7A" w:rsidRDefault="009C6A7A">
    <w:pPr>
      <w:pStyle w:val="Piedepgina"/>
    </w:pPr>
    <w:r>
      <w:rPr>
        <w:noProof/>
        <w:lang w:val="es-PY" w:eastAsia="es-PY"/>
      </w:rPr>
      <mc:AlternateContent>
        <mc:Choice Requires="wps">
          <w:drawing>
            <wp:anchor distT="0" distB="0" distL="114300" distR="114300" simplePos="0" relativeHeight="251662336" behindDoc="0" locked="0" layoutInCell="1" allowOverlap="1" wp14:anchorId="05308965" wp14:editId="3213A702">
              <wp:simplePos x="0" y="0"/>
              <wp:positionH relativeFrom="margin">
                <wp:align>center</wp:align>
              </wp:positionH>
              <wp:positionV relativeFrom="paragraph">
                <wp:posOffset>253365</wp:posOffset>
              </wp:positionV>
              <wp:extent cx="7400925" cy="0"/>
              <wp:effectExtent l="0" t="0" r="0" b="0"/>
              <wp:wrapNone/>
              <wp:docPr id="2115621437" name="Conector recto 3"/>
              <wp:cNvGraphicFramePr/>
              <a:graphic xmlns:a="http://schemas.openxmlformats.org/drawingml/2006/main">
                <a:graphicData uri="http://schemas.microsoft.com/office/word/2010/wordprocessingShape">
                  <wps:wsp>
                    <wps:cNvCnPr/>
                    <wps:spPr>
                      <a:xfrm>
                        <a:off x="0" y="0"/>
                        <a:ext cx="740092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C70F08" id="Conector recto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9.95pt" to="582.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" strokecolor="#002060" strokeweight="1.5pt">
              <v:stroke joinstyle="miter"/>
              <w10:wrap anchorx="margin"/>
            </v:line>
          </w:pict>
        </mc:Fallback>
      </mc:AlternateContent>
    </w:r>
    <w:r>
      <w:rPr>
        <w:noProof/>
        <w:lang w:val="es-PY" w:eastAsia="es-PY"/>
      </w:rPr>
      <w:drawing>
        <wp:anchor distT="0" distB="0" distL="114300" distR="114300" simplePos="0" relativeHeight="251661312" behindDoc="1" locked="0" layoutInCell="1" allowOverlap="1" wp14:anchorId="36FABDDC" wp14:editId="4C527B5C">
          <wp:simplePos x="0" y="0"/>
          <wp:positionH relativeFrom="column">
            <wp:posOffset>1843405</wp:posOffset>
          </wp:positionH>
          <wp:positionV relativeFrom="paragraph">
            <wp:posOffset>-108585</wp:posOffset>
          </wp:positionV>
          <wp:extent cx="1981200" cy="266700"/>
          <wp:effectExtent l="0" t="0" r="0" b="0"/>
          <wp:wrapNone/>
          <wp:docPr id="421874489" name="Imagen 42187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1BC0" w14:textId="77777777" w:rsidR="00454D81" w:rsidRDefault="00454D81">
      <w:pPr>
        <w:spacing w:after="0" w:line="240" w:lineRule="auto"/>
      </w:pPr>
      <w:r>
        <w:separator/>
      </w:r>
    </w:p>
  </w:footnote>
  <w:footnote w:type="continuationSeparator" w:id="0">
    <w:p w14:paraId="68104637" w14:textId="77777777" w:rsidR="00454D81" w:rsidRDefault="00454D81">
      <w:pPr>
        <w:spacing w:after="0" w:line="240" w:lineRule="auto"/>
      </w:pPr>
      <w:r>
        <w:continuationSeparator/>
      </w:r>
    </w:p>
  </w:footnote>
  <w:footnote w:id="1">
    <w:p w14:paraId="4D025D1E" w14:textId="77777777" w:rsidR="00E74964" w:rsidRPr="00FC0949" w:rsidRDefault="00E74964" w:rsidP="00E74964">
      <w:pPr>
        <w:pStyle w:val="Textonotapie"/>
        <w:rPr>
          <w:sz w:val="16"/>
          <w:szCs w:val="16"/>
        </w:rPr>
      </w:pPr>
      <w:r w:rsidRPr="00FC0949">
        <w:rPr>
          <w:rStyle w:val="Refdenotaalpie"/>
          <w:sz w:val="16"/>
          <w:szCs w:val="16"/>
        </w:rPr>
        <w:footnoteRef/>
      </w:r>
      <w:r w:rsidRPr="00FC0949">
        <w:rPr>
          <w:sz w:val="16"/>
          <w:szCs w:val="16"/>
        </w:rPr>
        <w:t xml:space="preserve"> </w:t>
      </w:r>
      <w:r w:rsidRPr="008340A0">
        <w:rPr>
          <w:sz w:val="16"/>
          <w:szCs w:val="16"/>
        </w:rPr>
        <w:t>Fuente: MDS. Dirección TEKOPORA, correo 03/10/2025.</w:t>
      </w:r>
    </w:p>
  </w:footnote>
  <w:footnote w:id="2">
    <w:p w14:paraId="31BDFD40" w14:textId="5605941F" w:rsidR="00934F88" w:rsidRPr="00934F88" w:rsidRDefault="00934F88">
      <w:pPr>
        <w:pStyle w:val="Textonotapie"/>
      </w:pPr>
      <w:r>
        <w:rPr>
          <w:rStyle w:val="Refdenotaalpie"/>
        </w:rPr>
        <w:footnoteRef/>
      </w:r>
      <w:r>
        <w:t xml:space="preserve"> </w:t>
      </w:r>
      <w:r w:rsidRPr="008340A0">
        <w:rPr>
          <w:sz w:val="16"/>
          <w:szCs w:val="16"/>
        </w:rPr>
        <w:t>Fuente: MDS. Dirección TE</w:t>
      </w:r>
      <w:r>
        <w:rPr>
          <w:sz w:val="16"/>
          <w:szCs w:val="16"/>
        </w:rPr>
        <w:t>NONDERA</w:t>
      </w:r>
      <w:r w:rsidRPr="008340A0">
        <w:rPr>
          <w:sz w:val="16"/>
          <w:szCs w:val="16"/>
        </w:rPr>
        <w:t>, correo 0</w:t>
      </w:r>
      <w:r>
        <w:rPr>
          <w:sz w:val="16"/>
          <w:szCs w:val="16"/>
        </w:rPr>
        <w:t>7</w:t>
      </w:r>
      <w:r w:rsidRPr="008340A0">
        <w:rPr>
          <w:sz w:val="16"/>
          <w:szCs w:val="16"/>
        </w:rPr>
        <w:t>/10/2025.</w:t>
      </w:r>
    </w:p>
  </w:footnote>
  <w:footnote w:id="3">
    <w:p w14:paraId="2EFA9C22" w14:textId="0489B0DB" w:rsidR="00E0645A" w:rsidRPr="00E0645A" w:rsidRDefault="00E0645A">
      <w:pPr>
        <w:pStyle w:val="Textonotapie"/>
      </w:pPr>
      <w:r>
        <w:rPr>
          <w:rStyle w:val="Refdenotaalpie"/>
        </w:rPr>
        <w:footnoteRef/>
      </w:r>
      <w:r>
        <w:t xml:space="preserve"> </w:t>
      </w:r>
      <w:r w:rsidRPr="008340A0">
        <w:rPr>
          <w:sz w:val="16"/>
          <w:szCs w:val="16"/>
        </w:rPr>
        <w:t>Fuente: MDS. Dirección TE</w:t>
      </w:r>
      <w:r>
        <w:rPr>
          <w:sz w:val="16"/>
          <w:szCs w:val="16"/>
        </w:rPr>
        <w:t>KOHA</w:t>
      </w:r>
      <w:r w:rsidRPr="008340A0">
        <w:rPr>
          <w:sz w:val="16"/>
          <w:szCs w:val="16"/>
        </w:rPr>
        <w:t>, correo 0</w:t>
      </w:r>
      <w:r>
        <w:rPr>
          <w:sz w:val="16"/>
          <w:szCs w:val="16"/>
        </w:rPr>
        <w:t>8</w:t>
      </w:r>
      <w:r w:rsidRPr="008340A0">
        <w:rPr>
          <w:sz w:val="16"/>
          <w:szCs w:val="16"/>
        </w:rPr>
        <w:t>/10/2025.</w:t>
      </w:r>
    </w:p>
  </w:footnote>
  <w:footnote w:id="4">
    <w:p w14:paraId="05F5D9BC" w14:textId="4A457834" w:rsidR="008340A0" w:rsidRPr="008340A0" w:rsidRDefault="008340A0">
      <w:pPr>
        <w:pStyle w:val="Textonotapie"/>
        <w:rPr>
          <w:sz w:val="16"/>
          <w:szCs w:val="16"/>
        </w:rPr>
      </w:pPr>
      <w:r w:rsidRPr="008340A0">
        <w:rPr>
          <w:rStyle w:val="Refdenotaalpie"/>
          <w:sz w:val="16"/>
          <w:szCs w:val="16"/>
        </w:rPr>
        <w:footnoteRef/>
      </w:r>
      <w:r w:rsidRPr="008340A0">
        <w:rPr>
          <w:sz w:val="16"/>
          <w:szCs w:val="16"/>
        </w:rPr>
        <w:t xml:space="preserve"> Fuente: MDS. Dirección </w:t>
      </w:r>
      <w:r>
        <w:rPr>
          <w:sz w:val="16"/>
          <w:szCs w:val="16"/>
        </w:rPr>
        <w:t>Asistencia a Pescadores</w:t>
      </w:r>
      <w:r w:rsidRPr="008340A0">
        <w:rPr>
          <w:sz w:val="16"/>
          <w:szCs w:val="16"/>
        </w:rPr>
        <w:t>, correo 07/10/2025.</w:t>
      </w:r>
    </w:p>
  </w:footnote>
  <w:footnote w:id="5">
    <w:p w14:paraId="42903E33" w14:textId="067A397F" w:rsidR="00A810D8" w:rsidRPr="00A810D8" w:rsidRDefault="00A810D8">
      <w:pPr>
        <w:pStyle w:val="Textonotapie"/>
        <w:rPr>
          <w:sz w:val="16"/>
          <w:szCs w:val="16"/>
        </w:rPr>
      </w:pPr>
      <w:r w:rsidRPr="00A810D8">
        <w:rPr>
          <w:rStyle w:val="Refdenotaalpie"/>
          <w:sz w:val="16"/>
          <w:szCs w:val="16"/>
        </w:rPr>
        <w:footnoteRef/>
      </w:r>
      <w:r w:rsidRPr="00A810D8">
        <w:rPr>
          <w:sz w:val="16"/>
          <w:szCs w:val="16"/>
        </w:rPr>
        <w:t xml:space="preserve"> MDS. Dirección Comedores Comunitarios, correo 07/10/2025.</w:t>
      </w:r>
    </w:p>
  </w:footnote>
  <w:footnote w:id="6">
    <w:p w14:paraId="74BFA702" w14:textId="612F720A" w:rsidR="008340A0" w:rsidRPr="008340A0" w:rsidRDefault="008340A0">
      <w:pPr>
        <w:pStyle w:val="Textonotapie"/>
      </w:pPr>
      <w:r w:rsidRPr="008340A0">
        <w:rPr>
          <w:rStyle w:val="Refdenotaalpie"/>
          <w:sz w:val="16"/>
          <w:szCs w:val="16"/>
        </w:rPr>
        <w:footnoteRef/>
      </w:r>
      <w:r w:rsidRPr="008340A0">
        <w:rPr>
          <w:sz w:val="16"/>
          <w:szCs w:val="16"/>
        </w:rPr>
        <w:t xml:space="preserve"> Fuente: MDS. Dirección del Programa de Pensión Alimentaria para Adultos Mayores, correo 06/10/2025.</w:t>
      </w:r>
    </w:p>
  </w:footnote>
  <w:footnote w:id="7">
    <w:p w14:paraId="000B57F5" w14:textId="4F3B3BBC" w:rsidR="00447CD9" w:rsidRPr="00447CD9" w:rsidRDefault="00447CD9">
      <w:pPr>
        <w:pStyle w:val="Textonotapie"/>
      </w:pPr>
      <w:r>
        <w:rPr>
          <w:rStyle w:val="Refdenotaalpie"/>
        </w:rPr>
        <w:footnoteRef/>
      </w:r>
      <w:r>
        <w:t xml:space="preserve"> </w:t>
      </w:r>
      <w:r w:rsidRPr="00447CD9">
        <w:t>MDS, Dirección General de Administración y Finanzas, correo 13/10/2025</w:t>
      </w:r>
    </w:p>
  </w:footnote>
  <w:footnote w:id="8">
    <w:p w14:paraId="1CD2E5CC" w14:textId="7A09B069" w:rsidR="00A810D8" w:rsidRPr="00A810D8" w:rsidRDefault="00A810D8">
      <w:pPr>
        <w:pStyle w:val="Textonotapie"/>
      </w:pPr>
      <w:r>
        <w:rPr>
          <w:rStyle w:val="Refdenotaalpie"/>
        </w:rPr>
        <w:footnoteRef/>
      </w:r>
      <w:r>
        <w:t xml:space="preserve"> </w:t>
      </w:r>
      <w:r w:rsidRPr="00A810D8">
        <w:t>MDS. Unidad de Transparencia y A</w:t>
      </w:r>
      <w:r>
        <w:t xml:space="preserve">nticorrupción, </w:t>
      </w:r>
      <w:r w:rsidRPr="008340A0">
        <w:rPr>
          <w:sz w:val="16"/>
          <w:szCs w:val="16"/>
        </w:rPr>
        <w:t xml:space="preserve">correo </w:t>
      </w:r>
      <w:r>
        <w:rPr>
          <w:sz w:val="16"/>
          <w:szCs w:val="16"/>
        </w:rPr>
        <w:t>08</w:t>
      </w:r>
      <w:r w:rsidRPr="008340A0">
        <w:rPr>
          <w:sz w:val="16"/>
          <w:szCs w:val="16"/>
        </w:rPr>
        <w:t>/10/2025.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C380" w14:textId="77777777" w:rsidR="009C6A7A" w:rsidRDefault="009C6A7A">
    <w:pPr>
      <w:pStyle w:val="Encabezado"/>
    </w:pPr>
    <w:r>
      <w:rPr>
        <w:noProof/>
        <w:lang w:val="es-PY" w:eastAsia="es-PY"/>
      </w:rPr>
      <w:drawing>
        <wp:anchor distT="0" distB="0" distL="114300" distR="114300" simplePos="0" relativeHeight="251659264" behindDoc="1" locked="0" layoutInCell="1" allowOverlap="1" wp14:anchorId="7CB487A6" wp14:editId="34C4F540">
          <wp:simplePos x="0" y="0"/>
          <wp:positionH relativeFrom="column">
            <wp:posOffset>1706245</wp:posOffset>
          </wp:positionH>
          <wp:positionV relativeFrom="paragraph">
            <wp:posOffset>-178435</wp:posOffset>
          </wp:positionV>
          <wp:extent cx="2276475" cy="390525"/>
          <wp:effectExtent l="0" t="0" r="9525" b="9525"/>
          <wp:wrapTight wrapText="bothSides">
            <wp:wrapPolygon edited="0">
              <wp:start x="0" y="0"/>
              <wp:lineTo x="0" y="21073"/>
              <wp:lineTo x="21510" y="21073"/>
              <wp:lineTo x="21510" y="0"/>
              <wp:lineTo x="0" y="0"/>
            </wp:wrapPolygon>
          </wp:wrapTight>
          <wp:docPr id="1606377275" name="Imagen 160637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90525"/>
                  </a:xfrm>
                  <a:prstGeom prst="rect">
                    <a:avLst/>
                  </a:prstGeom>
                  <a:noFill/>
                  <a:ln>
                    <a:noFill/>
                  </a:ln>
                </pic:spPr>
              </pic:pic>
            </a:graphicData>
          </a:graphic>
        </wp:anchor>
      </w:drawing>
    </w:r>
    <w:r>
      <w:rPr>
        <w:noProof/>
        <w:lang w:val="es-PY" w:eastAsia="es-PY"/>
      </w:rPr>
      <mc:AlternateContent>
        <mc:Choice Requires="wps">
          <w:drawing>
            <wp:anchor distT="0" distB="0" distL="114300" distR="114300" simplePos="0" relativeHeight="251660288" behindDoc="0" locked="0" layoutInCell="1" allowOverlap="1" wp14:anchorId="03015B2A" wp14:editId="66131599">
              <wp:simplePos x="0" y="0"/>
              <wp:positionH relativeFrom="column">
                <wp:posOffset>-984885</wp:posOffset>
              </wp:positionH>
              <wp:positionV relativeFrom="paragraph">
                <wp:posOffset>335915</wp:posOffset>
              </wp:positionV>
              <wp:extent cx="7400925" cy="0"/>
              <wp:effectExtent l="0" t="0" r="0" b="0"/>
              <wp:wrapNone/>
              <wp:docPr id="1227062769" name="Conector recto 3"/>
              <wp:cNvGraphicFramePr/>
              <a:graphic xmlns:a="http://schemas.openxmlformats.org/drawingml/2006/main">
                <a:graphicData uri="http://schemas.microsoft.com/office/word/2010/wordprocessingShape">
                  <wps:wsp>
                    <wps:cNvCnPr/>
                    <wps:spPr>
                      <a:xfrm>
                        <a:off x="0" y="0"/>
                        <a:ext cx="74009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90FEA8"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55pt,26.45pt" to="505.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" strokecolor="red" strokeweight="1.5pt">
              <v:stroke joinstyle="miter"/>
            </v:line>
          </w:pict>
        </mc:Fallback>
      </mc:AlternateContent>
    </w:r>
  </w:p>
  <w:p w14:paraId="2235B90E" w14:textId="77777777" w:rsidR="009C6A7A" w:rsidRDefault="009C6A7A">
    <w:pPr>
      <w:pStyle w:val="Encabezado"/>
    </w:pPr>
  </w:p>
  <w:p w14:paraId="0209005E" w14:textId="77777777" w:rsidR="009C6A7A" w:rsidRDefault="009C6A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357E"/>
    <w:multiLevelType w:val="hybridMultilevel"/>
    <w:tmpl w:val="E4C62B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65"/>
    <w:rsid w:val="00027B8A"/>
    <w:rsid w:val="00052887"/>
    <w:rsid w:val="00063947"/>
    <w:rsid w:val="000676DD"/>
    <w:rsid w:val="00085659"/>
    <w:rsid w:val="000D3437"/>
    <w:rsid w:val="000D64B8"/>
    <w:rsid w:val="000F595A"/>
    <w:rsid w:val="0010156A"/>
    <w:rsid w:val="00105775"/>
    <w:rsid w:val="00107CD8"/>
    <w:rsid w:val="001439ED"/>
    <w:rsid w:val="00143E9A"/>
    <w:rsid w:val="00151EC7"/>
    <w:rsid w:val="001647AE"/>
    <w:rsid w:val="00194C25"/>
    <w:rsid w:val="001C3A77"/>
    <w:rsid w:val="001E69E0"/>
    <w:rsid w:val="001F5A2C"/>
    <w:rsid w:val="00201603"/>
    <w:rsid w:val="00205C9A"/>
    <w:rsid w:val="002319A4"/>
    <w:rsid w:val="002374A3"/>
    <w:rsid w:val="00240DF9"/>
    <w:rsid w:val="00261056"/>
    <w:rsid w:val="002A1236"/>
    <w:rsid w:val="002A1BE4"/>
    <w:rsid w:val="002B0AC9"/>
    <w:rsid w:val="002F1AC3"/>
    <w:rsid w:val="002F6379"/>
    <w:rsid w:val="00345819"/>
    <w:rsid w:val="00355AFE"/>
    <w:rsid w:val="003730E3"/>
    <w:rsid w:val="0038146E"/>
    <w:rsid w:val="00386E67"/>
    <w:rsid w:val="003B174F"/>
    <w:rsid w:val="003B64EA"/>
    <w:rsid w:val="003F5C19"/>
    <w:rsid w:val="00404AE1"/>
    <w:rsid w:val="00407EA7"/>
    <w:rsid w:val="00427699"/>
    <w:rsid w:val="004366E4"/>
    <w:rsid w:val="00447CD9"/>
    <w:rsid w:val="00454D81"/>
    <w:rsid w:val="00474979"/>
    <w:rsid w:val="004B55AB"/>
    <w:rsid w:val="004C1C74"/>
    <w:rsid w:val="004D1508"/>
    <w:rsid w:val="004D39D8"/>
    <w:rsid w:val="004E36CF"/>
    <w:rsid w:val="005240F0"/>
    <w:rsid w:val="00525C75"/>
    <w:rsid w:val="005476B4"/>
    <w:rsid w:val="005B1445"/>
    <w:rsid w:val="005C16A3"/>
    <w:rsid w:val="005C6181"/>
    <w:rsid w:val="005F0651"/>
    <w:rsid w:val="00625D02"/>
    <w:rsid w:val="006456BD"/>
    <w:rsid w:val="00666B43"/>
    <w:rsid w:val="00667D40"/>
    <w:rsid w:val="0067080D"/>
    <w:rsid w:val="00694CF0"/>
    <w:rsid w:val="006978A0"/>
    <w:rsid w:val="006B4A06"/>
    <w:rsid w:val="006C280F"/>
    <w:rsid w:val="006C445A"/>
    <w:rsid w:val="006C5211"/>
    <w:rsid w:val="006C6D8B"/>
    <w:rsid w:val="006D2E61"/>
    <w:rsid w:val="006F040F"/>
    <w:rsid w:val="00710766"/>
    <w:rsid w:val="00726F10"/>
    <w:rsid w:val="00745255"/>
    <w:rsid w:val="007640F3"/>
    <w:rsid w:val="007869E8"/>
    <w:rsid w:val="00790F1B"/>
    <w:rsid w:val="007921CE"/>
    <w:rsid w:val="00804006"/>
    <w:rsid w:val="00825E48"/>
    <w:rsid w:val="00830F0C"/>
    <w:rsid w:val="008340A0"/>
    <w:rsid w:val="00875E91"/>
    <w:rsid w:val="008A70CC"/>
    <w:rsid w:val="008E037A"/>
    <w:rsid w:val="008F2F86"/>
    <w:rsid w:val="00904900"/>
    <w:rsid w:val="00917598"/>
    <w:rsid w:val="00920D98"/>
    <w:rsid w:val="00922F9C"/>
    <w:rsid w:val="00934F88"/>
    <w:rsid w:val="009367C8"/>
    <w:rsid w:val="00944899"/>
    <w:rsid w:val="00955DE0"/>
    <w:rsid w:val="0096575F"/>
    <w:rsid w:val="00990665"/>
    <w:rsid w:val="0099296D"/>
    <w:rsid w:val="00997BA7"/>
    <w:rsid w:val="009C36C4"/>
    <w:rsid w:val="009C6A7A"/>
    <w:rsid w:val="009F36DE"/>
    <w:rsid w:val="00A26B8B"/>
    <w:rsid w:val="00A37F2D"/>
    <w:rsid w:val="00A50FA2"/>
    <w:rsid w:val="00A636FA"/>
    <w:rsid w:val="00A810D8"/>
    <w:rsid w:val="00A90FA0"/>
    <w:rsid w:val="00A97C45"/>
    <w:rsid w:val="00AB2FB1"/>
    <w:rsid w:val="00AB7405"/>
    <w:rsid w:val="00B61C7D"/>
    <w:rsid w:val="00B72320"/>
    <w:rsid w:val="00B83EBA"/>
    <w:rsid w:val="00B918D6"/>
    <w:rsid w:val="00B9592E"/>
    <w:rsid w:val="00BB0512"/>
    <w:rsid w:val="00BB71C1"/>
    <w:rsid w:val="00BC350B"/>
    <w:rsid w:val="00BD42C4"/>
    <w:rsid w:val="00BD5274"/>
    <w:rsid w:val="00BE4346"/>
    <w:rsid w:val="00C07C99"/>
    <w:rsid w:val="00C47CAD"/>
    <w:rsid w:val="00C51219"/>
    <w:rsid w:val="00C52864"/>
    <w:rsid w:val="00C60C3D"/>
    <w:rsid w:val="00CA47E6"/>
    <w:rsid w:val="00CC03CC"/>
    <w:rsid w:val="00CC1DBF"/>
    <w:rsid w:val="00CE0EF3"/>
    <w:rsid w:val="00CE76D0"/>
    <w:rsid w:val="00D31C5E"/>
    <w:rsid w:val="00D32C96"/>
    <w:rsid w:val="00D61A85"/>
    <w:rsid w:val="00D641BA"/>
    <w:rsid w:val="00D8470F"/>
    <w:rsid w:val="00DA1EE6"/>
    <w:rsid w:val="00E0645A"/>
    <w:rsid w:val="00E12A66"/>
    <w:rsid w:val="00E23BC3"/>
    <w:rsid w:val="00E2704A"/>
    <w:rsid w:val="00E739B3"/>
    <w:rsid w:val="00E74964"/>
    <w:rsid w:val="00E755BA"/>
    <w:rsid w:val="00EB7016"/>
    <w:rsid w:val="00EF0D99"/>
    <w:rsid w:val="00F00FDA"/>
    <w:rsid w:val="00F60CA2"/>
    <w:rsid w:val="00F84C7B"/>
    <w:rsid w:val="00F85126"/>
    <w:rsid w:val="00FC0949"/>
    <w:rsid w:val="00FC77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2B858"/>
  <w15:docId w15:val="{5B07591A-7ACF-4537-B6AF-A9C0B18D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95A"/>
    <w:rPr>
      <w:kern w:val="0"/>
      <w:lang w:val="es-MX"/>
      <w14:ligatures w14:val="none"/>
    </w:rPr>
  </w:style>
  <w:style w:type="paragraph" w:styleId="Ttulo1">
    <w:name w:val="heading 1"/>
    <w:basedOn w:val="Normal"/>
    <w:next w:val="Normal"/>
    <w:link w:val="Ttulo1Car"/>
    <w:uiPriority w:val="9"/>
    <w:qFormat/>
    <w:rsid w:val="00922F9C"/>
    <w:pPr>
      <w:keepNext/>
      <w:keepLines/>
      <w:spacing w:before="240" w:after="0"/>
      <w:outlineLvl w:val="0"/>
    </w:pPr>
    <w:rPr>
      <w:rFonts w:asciiTheme="majorHAnsi" w:eastAsiaTheme="majorEastAsia" w:hAnsiTheme="majorHAnsi" w:cstheme="majorBidi"/>
      <w:color w:val="2F5496" w:themeColor="accent1" w:themeShade="BF"/>
      <w:sz w:val="32"/>
      <w:szCs w:val="32"/>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0665"/>
    <w:pPr>
      <w:tabs>
        <w:tab w:val="center" w:pos="4252"/>
        <w:tab w:val="right" w:pos="8504"/>
      </w:tabs>
      <w:spacing w:after="0" w:line="240" w:lineRule="auto"/>
    </w:pPr>
    <w:rPr>
      <w:lang w:val="es-419"/>
    </w:rPr>
  </w:style>
  <w:style w:type="character" w:customStyle="1" w:styleId="EncabezadoCar">
    <w:name w:val="Encabezado Car"/>
    <w:basedOn w:val="Fuentedeprrafopredeter"/>
    <w:link w:val="Encabezado"/>
    <w:uiPriority w:val="99"/>
    <w:rsid w:val="00990665"/>
    <w:rPr>
      <w:kern w:val="0"/>
      <w:lang w:val="es-419"/>
      <w14:ligatures w14:val="none"/>
    </w:rPr>
  </w:style>
  <w:style w:type="paragraph" w:styleId="Piedepgina">
    <w:name w:val="footer"/>
    <w:basedOn w:val="Normal"/>
    <w:link w:val="PiedepginaCar"/>
    <w:uiPriority w:val="99"/>
    <w:unhideWhenUsed/>
    <w:rsid w:val="00990665"/>
    <w:pPr>
      <w:tabs>
        <w:tab w:val="center" w:pos="4252"/>
        <w:tab w:val="right" w:pos="8504"/>
      </w:tabs>
      <w:spacing w:after="0" w:line="240" w:lineRule="auto"/>
    </w:pPr>
    <w:rPr>
      <w:lang w:val="es-419"/>
    </w:rPr>
  </w:style>
  <w:style w:type="character" w:customStyle="1" w:styleId="PiedepginaCar">
    <w:name w:val="Pie de página Car"/>
    <w:basedOn w:val="Fuentedeprrafopredeter"/>
    <w:link w:val="Piedepgina"/>
    <w:uiPriority w:val="99"/>
    <w:rsid w:val="00990665"/>
    <w:rPr>
      <w:kern w:val="0"/>
      <w:lang w:val="es-419"/>
      <w14:ligatures w14:val="none"/>
    </w:rPr>
  </w:style>
  <w:style w:type="paragraph" w:styleId="Sinespaciado">
    <w:name w:val="No Spacing"/>
    <w:uiPriority w:val="1"/>
    <w:qFormat/>
    <w:rsid w:val="00990665"/>
    <w:pPr>
      <w:spacing w:after="0" w:line="240" w:lineRule="auto"/>
    </w:pPr>
    <w:rPr>
      <w:kern w:val="0"/>
      <w:lang w:val="es-419"/>
      <w14:ligatures w14:val="none"/>
    </w:rPr>
  </w:style>
  <w:style w:type="paragraph" w:styleId="Prrafodelista">
    <w:name w:val="List Paragraph"/>
    <w:basedOn w:val="Normal"/>
    <w:uiPriority w:val="34"/>
    <w:qFormat/>
    <w:rsid w:val="00C47CAD"/>
    <w:pPr>
      <w:ind w:left="720"/>
      <w:contextualSpacing/>
    </w:pPr>
    <w:rPr>
      <w:lang w:val="es-419"/>
    </w:rPr>
  </w:style>
  <w:style w:type="character" w:customStyle="1" w:styleId="Ttulo1Car">
    <w:name w:val="Título 1 Car"/>
    <w:basedOn w:val="Fuentedeprrafopredeter"/>
    <w:link w:val="Ttulo1"/>
    <w:uiPriority w:val="9"/>
    <w:rsid w:val="00922F9C"/>
    <w:rPr>
      <w:rFonts w:asciiTheme="majorHAnsi" w:eastAsiaTheme="majorEastAsia" w:hAnsiTheme="majorHAnsi" w:cstheme="majorBidi"/>
      <w:color w:val="2F5496" w:themeColor="accent1" w:themeShade="BF"/>
      <w:kern w:val="0"/>
      <w:sz w:val="32"/>
      <w:szCs w:val="32"/>
      <w:lang w:val="es-419"/>
      <w14:ligatures w14:val="none"/>
    </w:rPr>
  </w:style>
  <w:style w:type="paragraph" w:styleId="Encabezadodemensaje">
    <w:name w:val="Message Header"/>
    <w:basedOn w:val="Normal"/>
    <w:link w:val="EncabezadodemensajeCar"/>
    <w:uiPriority w:val="99"/>
    <w:unhideWhenUsed/>
    <w:rsid w:val="00922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419"/>
    </w:rPr>
  </w:style>
  <w:style w:type="character" w:customStyle="1" w:styleId="EncabezadodemensajeCar">
    <w:name w:val="Encabezado de mensaje Car"/>
    <w:basedOn w:val="Fuentedeprrafopredeter"/>
    <w:link w:val="Encabezadodemensaje"/>
    <w:uiPriority w:val="99"/>
    <w:rsid w:val="00922F9C"/>
    <w:rPr>
      <w:rFonts w:asciiTheme="majorHAnsi" w:eastAsiaTheme="majorEastAsia" w:hAnsiTheme="majorHAnsi" w:cstheme="majorBidi"/>
      <w:kern w:val="0"/>
      <w:sz w:val="24"/>
      <w:szCs w:val="24"/>
      <w:shd w:val="pct20" w:color="auto" w:fill="auto"/>
      <w:lang w:val="es-419"/>
      <w14:ligatures w14:val="none"/>
    </w:rPr>
  </w:style>
  <w:style w:type="paragraph" w:styleId="Ttulo">
    <w:name w:val="Title"/>
    <w:basedOn w:val="Normal"/>
    <w:next w:val="Normal"/>
    <w:link w:val="TtuloCar"/>
    <w:uiPriority w:val="10"/>
    <w:qFormat/>
    <w:rsid w:val="00922F9C"/>
    <w:pPr>
      <w:spacing w:after="0" w:line="240" w:lineRule="auto"/>
      <w:contextualSpacing/>
    </w:pPr>
    <w:rPr>
      <w:rFonts w:asciiTheme="majorHAnsi" w:eastAsiaTheme="majorEastAsia" w:hAnsiTheme="majorHAnsi" w:cstheme="majorBidi"/>
      <w:spacing w:val="-10"/>
      <w:kern w:val="28"/>
      <w:sz w:val="56"/>
      <w:szCs w:val="56"/>
      <w:lang w:val="es-419"/>
    </w:rPr>
  </w:style>
  <w:style w:type="character" w:customStyle="1" w:styleId="TtuloCar">
    <w:name w:val="Título Car"/>
    <w:basedOn w:val="Fuentedeprrafopredeter"/>
    <w:link w:val="Ttulo"/>
    <w:uiPriority w:val="10"/>
    <w:rsid w:val="00922F9C"/>
    <w:rPr>
      <w:rFonts w:asciiTheme="majorHAnsi" w:eastAsiaTheme="majorEastAsia" w:hAnsiTheme="majorHAnsi" w:cstheme="majorBidi"/>
      <w:spacing w:val="-10"/>
      <w:kern w:val="28"/>
      <w:sz w:val="56"/>
      <w:szCs w:val="56"/>
      <w:lang w:val="es-419"/>
      <w14:ligatures w14:val="none"/>
    </w:rPr>
  </w:style>
  <w:style w:type="paragraph" w:styleId="Textoindependiente">
    <w:name w:val="Body Text"/>
    <w:basedOn w:val="Normal"/>
    <w:link w:val="TextoindependienteCar"/>
    <w:uiPriority w:val="99"/>
    <w:semiHidden/>
    <w:unhideWhenUsed/>
    <w:rsid w:val="00922F9C"/>
    <w:pPr>
      <w:spacing w:after="120"/>
    </w:pPr>
    <w:rPr>
      <w:lang w:val="es-419"/>
    </w:rPr>
  </w:style>
  <w:style w:type="character" w:customStyle="1" w:styleId="TextoindependienteCar">
    <w:name w:val="Texto independiente Car"/>
    <w:basedOn w:val="Fuentedeprrafopredeter"/>
    <w:link w:val="Textoindependiente"/>
    <w:uiPriority w:val="99"/>
    <w:semiHidden/>
    <w:rsid w:val="00922F9C"/>
    <w:rPr>
      <w:kern w:val="0"/>
      <w:lang w:val="es-419"/>
      <w14:ligatures w14:val="none"/>
    </w:rPr>
  </w:style>
  <w:style w:type="paragraph" w:styleId="Textoindependienteprimerasangra">
    <w:name w:val="Body Text First Indent"/>
    <w:basedOn w:val="Textoindependiente"/>
    <w:link w:val="TextoindependienteprimerasangraCar"/>
    <w:uiPriority w:val="99"/>
    <w:unhideWhenUsed/>
    <w:rsid w:val="00922F9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922F9C"/>
    <w:rPr>
      <w:kern w:val="0"/>
      <w:lang w:val="es-419"/>
      <w14:ligatures w14:val="none"/>
    </w:rPr>
  </w:style>
  <w:style w:type="paragraph" w:styleId="NormalWeb">
    <w:name w:val="Normal (Web)"/>
    <w:basedOn w:val="Normal"/>
    <w:uiPriority w:val="99"/>
    <w:unhideWhenUsed/>
    <w:rsid w:val="000F59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FC09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0949"/>
    <w:rPr>
      <w:kern w:val="0"/>
      <w:sz w:val="20"/>
      <w:szCs w:val="20"/>
      <w:lang w:val="es-MX"/>
      <w14:ligatures w14:val="none"/>
    </w:rPr>
  </w:style>
  <w:style w:type="character" w:styleId="Refdenotaalpie">
    <w:name w:val="footnote reference"/>
    <w:basedOn w:val="Fuentedeprrafopredeter"/>
    <w:uiPriority w:val="99"/>
    <w:semiHidden/>
    <w:unhideWhenUsed/>
    <w:rsid w:val="00FC0949"/>
    <w:rPr>
      <w:vertAlign w:val="superscript"/>
    </w:rPr>
  </w:style>
  <w:style w:type="character" w:styleId="Textoennegrita">
    <w:name w:val="Strong"/>
    <w:basedOn w:val="Fuentedeprrafopredeter"/>
    <w:uiPriority w:val="22"/>
    <w:qFormat/>
    <w:rsid w:val="00934F88"/>
    <w:rPr>
      <w:b/>
      <w:bCs/>
    </w:rPr>
  </w:style>
  <w:style w:type="character" w:styleId="Hipervnculo">
    <w:name w:val="Hyperlink"/>
    <w:basedOn w:val="Fuentedeprrafopredeter"/>
    <w:uiPriority w:val="99"/>
    <w:unhideWhenUsed/>
    <w:rsid w:val="00107CD8"/>
    <w:rPr>
      <w:color w:val="0000FF"/>
      <w:u w:val="single"/>
    </w:rPr>
  </w:style>
  <w:style w:type="character" w:styleId="Refdecomentario">
    <w:name w:val="annotation reference"/>
    <w:basedOn w:val="Fuentedeprrafopredeter"/>
    <w:uiPriority w:val="99"/>
    <w:semiHidden/>
    <w:unhideWhenUsed/>
    <w:rsid w:val="00A810D8"/>
    <w:rPr>
      <w:sz w:val="16"/>
      <w:szCs w:val="16"/>
    </w:rPr>
  </w:style>
  <w:style w:type="paragraph" w:styleId="Textocomentario">
    <w:name w:val="annotation text"/>
    <w:basedOn w:val="Normal"/>
    <w:link w:val="TextocomentarioCar"/>
    <w:uiPriority w:val="99"/>
    <w:semiHidden/>
    <w:unhideWhenUsed/>
    <w:rsid w:val="00A810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10D8"/>
    <w:rPr>
      <w:kern w:val="0"/>
      <w:sz w:val="20"/>
      <w:szCs w:val="20"/>
      <w:lang w:val="es-MX"/>
      <w14:ligatures w14:val="none"/>
    </w:rPr>
  </w:style>
  <w:style w:type="paragraph" w:styleId="Asuntodelcomentario">
    <w:name w:val="annotation subject"/>
    <w:basedOn w:val="Textocomentario"/>
    <w:next w:val="Textocomentario"/>
    <w:link w:val="AsuntodelcomentarioCar"/>
    <w:uiPriority w:val="99"/>
    <w:semiHidden/>
    <w:unhideWhenUsed/>
    <w:rsid w:val="00A810D8"/>
    <w:rPr>
      <w:b/>
      <w:bCs/>
    </w:rPr>
  </w:style>
  <w:style w:type="character" w:customStyle="1" w:styleId="AsuntodelcomentarioCar">
    <w:name w:val="Asunto del comentario Car"/>
    <w:basedOn w:val="TextocomentarioCar"/>
    <w:link w:val="Asuntodelcomentario"/>
    <w:uiPriority w:val="99"/>
    <w:semiHidden/>
    <w:rsid w:val="00A810D8"/>
    <w:rPr>
      <w:b/>
      <w:bCs/>
      <w:kern w:val="0"/>
      <w:sz w:val="20"/>
      <w:szCs w:val="20"/>
      <w:lang w:val="es-MX"/>
      <w14:ligatures w14:val="none"/>
    </w:rPr>
  </w:style>
  <w:style w:type="character" w:customStyle="1" w:styleId="Mencinsinresolver1">
    <w:name w:val="Mención sin resolver1"/>
    <w:basedOn w:val="Fuentedeprrafopredeter"/>
    <w:uiPriority w:val="99"/>
    <w:semiHidden/>
    <w:unhideWhenUsed/>
    <w:rsid w:val="00525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6603">
      <w:bodyDiv w:val="1"/>
      <w:marLeft w:val="0"/>
      <w:marRight w:val="0"/>
      <w:marTop w:val="0"/>
      <w:marBottom w:val="0"/>
      <w:divBdr>
        <w:top w:val="none" w:sz="0" w:space="0" w:color="auto"/>
        <w:left w:val="none" w:sz="0" w:space="0" w:color="auto"/>
        <w:bottom w:val="none" w:sz="0" w:space="0" w:color="auto"/>
        <w:right w:val="none" w:sz="0" w:space="0" w:color="auto"/>
      </w:divBdr>
    </w:div>
    <w:div w:id="530194205">
      <w:bodyDiv w:val="1"/>
      <w:marLeft w:val="0"/>
      <w:marRight w:val="0"/>
      <w:marTop w:val="0"/>
      <w:marBottom w:val="0"/>
      <w:divBdr>
        <w:top w:val="none" w:sz="0" w:space="0" w:color="auto"/>
        <w:left w:val="none" w:sz="0" w:space="0" w:color="auto"/>
        <w:bottom w:val="none" w:sz="0" w:space="0" w:color="auto"/>
        <w:right w:val="none" w:sz="0" w:space="0" w:color="auto"/>
      </w:divBdr>
    </w:div>
    <w:div w:id="853109699">
      <w:bodyDiv w:val="1"/>
      <w:marLeft w:val="0"/>
      <w:marRight w:val="0"/>
      <w:marTop w:val="0"/>
      <w:marBottom w:val="0"/>
      <w:divBdr>
        <w:top w:val="none" w:sz="0" w:space="0" w:color="auto"/>
        <w:left w:val="none" w:sz="0" w:space="0" w:color="auto"/>
        <w:bottom w:val="none" w:sz="0" w:space="0" w:color="auto"/>
        <w:right w:val="none" w:sz="0" w:space="0" w:color="auto"/>
      </w:divBdr>
    </w:div>
    <w:div w:id="1209992997">
      <w:bodyDiv w:val="1"/>
      <w:marLeft w:val="0"/>
      <w:marRight w:val="0"/>
      <w:marTop w:val="0"/>
      <w:marBottom w:val="0"/>
      <w:divBdr>
        <w:top w:val="none" w:sz="0" w:space="0" w:color="auto"/>
        <w:left w:val="none" w:sz="0" w:space="0" w:color="auto"/>
        <w:bottom w:val="none" w:sz="0" w:space="0" w:color="auto"/>
        <w:right w:val="none" w:sz="0" w:space="0" w:color="auto"/>
      </w:divBdr>
    </w:div>
    <w:div w:id="1515419649">
      <w:bodyDiv w:val="1"/>
      <w:marLeft w:val="0"/>
      <w:marRight w:val="0"/>
      <w:marTop w:val="0"/>
      <w:marBottom w:val="0"/>
      <w:divBdr>
        <w:top w:val="none" w:sz="0" w:space="0" w:color="auto"/>
        <w:left w:val="none" w:sz="0" w:space="0" w:color="auto"/>
        <w:bottom w:val="none" w:sz="0" w:space="0" w:color="auto"/>
        <w:right w:val="none" w:sz="0" w:space="0" w:color="auto"/>
      </w:divBdr>
      <w:divsChild>
        <w:div w:id="1920867159">
          <w:marLeft w:val="0"/>
          <w:marRight w:val="0"/>
          <w:marTop w:val="0"/>
          <w:marBottom w:val="0"/>
          <w:divBdr>
            <w:top w:val="none" w:sz="0" w:space="0" w:color="auto"/>
            <w:left w:val="none" w:sz="0" w:space="0" w:color="auto"/>
            <w:bottom w:val="none" w:sz="0" w:space="0" w:color="auto"/>
            <w:right w:val="none" w:sz="0" w:space="0" w:color="auto"/>
          </w:divBdr>
        </w:div>
        <w:div w:id="1661810626">
          <w:marLeft w:val="0"/>
          <w:marRight w:val="0"/>
          <w:marTop w:val="0"/>
          <w:marBottom w:val="0"/>
          <w:divBdr>
            <w:top w:val="none" w:sz="0" w:space="0" w:color="auto"/>
            <w:left w:val="none" w:sz="0" w:space="0" w:color="auto"/>
            <w:bottom w:val="none" w:sz="0" w:space="0" w:color="auto"/>
            <w:right w:val="none" w:sz="0" w:space="0" w:color="auto"/>
          </w:divBdr>
        </w:div>
        <w:div w:id="1250693874">
          <w:marLeft w:val="0"/>
          <w:marRight w:val="0"/>
          <w:marTop w:val="0"/>
          <w:marBottom w:val="0"/>
          <w:divBdr>
            <w:top w:val="none" w:sz="0" w:space="0" w:color="auto"/>
            <w:left w:val="none" w:sz="0" w:space="0" w:color="auto"/>
            <w:bottom w:val="none" w:sz="0" w:space="0" w:color="auto"/>
            <w:right w:val="none" w:sz="0" w:space="0" w:color="auto"/>
          </w:divBdr>
          <w:divsChild>
            <w:div w:id="8569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6811">
      <w:bodyDiv w:val="1"/>
      <w:marLeft w:val="0"/>
      <w:marRight w:val="0"/>
      <w:marTop w:val="0"/>
      <w:marBottom w:val="0"/>
      <w:divBdr>
        <w:top w:val="none" w:sz="0" w:space="0" w:color="auto"/>
        <w:left w:val="none" w:sz="0" w:space="0" w:color="auto"/>
        <w:bottom w:val="none" w:sz="0" w:space="0" w:color="auto"/>
        <w:right w:val="none" w:sz="0" w:space="0" w:color="auto"/>
      </w:divBdr>
    </w:div>
    <w:div w:id="1912156623">
      <w:bodyDiv w:val="1"/>
      <w:marLeft w:val="0"/>
      <w:marRight w:val="0"/>
      <w:marTop w:val="0"/>
      <w:marBottom w:val="0"/>
      <w:divBdr>
        <w:top w:val="none" w:sz="0" w:space="0" w:color="auto"/>
        <w:left w:val="none" w:sz="0" w:space="0" w:color="auto"/>
        <w:bottom w:val="none" w:sz="0" w:space="0" w:color="auto"/>
        <w:right w:val="none" w:sz="0" w:space="0" w:color="auto"/>
      </w:divBdr>
    </w:div>
    <w:div w:id="19586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xSKLSERS7U?si=f3e1eaBtRdXsthU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ds.gov.py/mds-presento-material-sobre-rendicion-de-cuentas-y-anticorrupcion/" TargetMode="External"/><Relationship Id="rId4" Type="http://schemas.openxmlformats.org/officeDocument/2006/relationships/settings" Target="settings.xml"/><Relationship Id="rId9" Type="http://schemas.openxmlformats.org/officeDocument/2006/relationships/hyperlink" Target="https://encuestas.mds.gov.py/encuesta_satisfaccionadd.ph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8EBA-6C65-46CC-98E3-3B6FD6D6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2365</Words>
  <Characters>13009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MAURA RAMOS</dc:creator>
  <cp:keywords/>
  <dc:description/>
  <cp:lastModifiedBy>Usuario</cp:lastModifiedBy>
  <cp:revision>32</cp:revision>
  <cp:lastPrinted>2024-10-29T13:48:00Z</cp:lastPrinted>
  <dcterms:created xsi:type="dcterms:W3CDTF">2025-10-08T17:09:00Z</dcterms:created>
  <dcterms:modified xsi:type="dcterms:W3CDTF">2025-10-13T17:36:00Z</dcterms:modified>
</cp:coreProperties>
</file>